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72B1D">
      <w:pPr>
        <w:rPr>
          <w:rFonts w:asciiTheme="minorEastAsia" w:hAnsiTheme="minorEastAsia" w:eastAsiaTheme="minorEastAsia"/>
          <w:b/>
          <w:bCs/>
          <w:spacing w:val="26"/>
          <w:sz w:val="72"/>
          <w:szCs w:val="72"/>
        </w:rPr>
      </w:pPr>
    </w:p>
    <w:p w14:paraId="317ED780">
      <w:pPr>
        <w:jc w:val="center"/>
        <w:rPr>
          <w:rFonts w:asciiTheme="minorEastAsia" w:hAnsiTheme="minorEastAsia" w:eastAsiaTheme="minorEastAsia"/>
          <w:b/>
          <w:bCs/>
          <w:spacing w:val="26"/>
          <w:sz w:val="84"/>
          <w:szCs w:val="84"/>
        </w:rPr>
      </w:pPr>
      <w:r>
        <w:rPr>
          <w:rFonts w:hint="eastAsia" w:ascii="微软雅黑" w:hAnsi="微软雅黑" w:eastAsia="微软雅黑"/>
          <w:b/>
          <w:sz w:val="84"/>
          <w:szCs w:val="84"/>
        </w:rPr>
        <w:t>竞争性比选文件</w:t>
      </w:r>
    </w:p>
    <w:p w14:paraId="52540570">
      <w:pPr>
        <w:jc w:val="center"/>
        <w:rPr>
          <w:rFonts w:asciiTheme="minorEastAsia" w:hAnsiTheme="minorEastAsia" w:eastAsiaTheme="minorEastAsia"/>
          <w:b/>
          <w:bCs/>
          <w:sz w:val="32"/>
        </w:rPr>
      </w:pPr>
    </w:p>
    <w:p w14:paraId="5A639748">
      <w:pPr>
        <w:jc w:val="center"/>
        <w:rPr>
          <w:rFonts w:asciiTheme="minorEastAsia" w:hAnsiTheme="minorEastAsia" w:eastAsiaTheme="minorEastAsia"/>
          <w:b/>
          <w:bCs/>
          <w:sz w:val="72"/>
        </w:rPr>
      </w:pPr>
    </w:p>
    <w:p w14:paraId="14B2F417">
      <w:pPr>
        <w:jc w:val="center"/>
        <w:rPr>
          <w:rFonts w:asciiTheme="minorEastAsia" w:hAnsiTheme="minorEastAsia" w:eastAsiaTheme="minorEastAsia"/>
          <w:b/>
          <w:bCs/>
          <w:sz w:val="72"/>
        </w:rPr>
      </w:pPr>
    </w:p>
    <w:p w14:paraId="50A6C683">
      <w:pPr>
        <w:pStyle w:val="37"/>
      </w:pPr>
    </w:p>
    <w:p w14:paraId="35EA195E">
      <w:pPr>
        <w:adjustRightInd w:val="0"/>
        <w:snapToGrid w:val="0"/>
        <w:spacing w:line="360" w:lineRule="auto"/>
        <w:ind w:firstLine="441" w:firstLineChars="147"/>
        <w:jc w:val="center"/>
        <w:rPr>
          <w:rFonts w:hint="eastAsia" w:ascii="方正小标宋_GBK" w:hAnsi="微软雅黑" w:eastAsia="方正小标宋_GBK"/>
          <w:sz w:val="30"/>
          <w:szCs w:val="30"/>
          <w:lang w:eastAsia="zh-CN"/>
        </w:rPr>
      </w:pPr>
      <w:r>
        <w:rPr>
          <w:rFonts w:hint="eastAsia" w:ascii="方正小标宋_GBK" w:hAnsi="微软雅黑" w:eastAsia="方正小标宋_GBK"/>
          <w:sz w:val="30"/>
          <w:szCs w:val="30"/>
        </w:rPr>
        <w:t>项目名称：</w:t>
      </w:r>
      <w:r>
        <w:rPr>
          <w:rFonts w:hint="eastAsia" w:ascii="方正小标宋_GBK" w:hAnsi="微软雅黑" w:eastAsia="方正小标宋_GBK"/>
          <w:sz w:val="30"/>
          <w:szCs w:val="30"/>
          <w:lang w:val="en-US" w:eastAsia="zh-CN"/>
        </w:rPr>
        <w:t>院本部和国家质检基地消防设施维保项目</w:t>
      </w:r>
    </w:p>
    <w:p w14:paraId="193AC38C">
      <w:pPr>
        <w:adjustRightInd w:val="0"/>
        <w:snapToGrid w:val="0"/>
        <w:spacing w:line="360" w:lineRule="auto"/>
        <w:rPr>
          <w:rFonts w:asciiTheme="minorEastAsia" w:hAnsiTheme="minorEastAsia" w:eastAsiaTheme="minorEastAsia"/>
          <w:b/>
          <w:bCs/>
          <w:sz w:val="32"/>
        </w:rPr>
      </w:pPr>
    </w:p>
    <w:p w14:paraId="22A5EFB9">
      <w:pPr>
        <w:jc w:val="both"/>
        <w:rPr>
          <w:rFonts w:asciiTheme="minorEastAsia" w:hAnsiTheme="minorEastAsia" w:eastAsiaTheme="minorEastAsia"/>
          <w:b/>
          <w:bCs/>
          <w:sz w:val="30"/>
        </w:rPr>
      </w:pPr>
    </w:p>
    <w:p w14:paraId="709F110F">
      <w:pPr>
        <w:rPr>
          <w:rFonts w:asciiTheme="minorEastAsia" w:hAnsiTheme="minorEastAsia" w:eastAsiaTheme="minorEastAsia"/>
          <w:b/>
          <w:bCs/>
          <w:sz w:val="30"/>
        </w:rPr>
      </w:pPr>
    </w:p>
    <w:p w14:paraId="65B5F7B5">
      <w:pPr>
        <w:rPr>
          <w:rFonts w:asciiTheme="minorEastAsia" w:hAnsiTheme="minorEastAsia" w:eastAsiaTheme="minorEastAsia"/>
          <w:b/>
          <w:bCs/>
          <w:sz w:val="30"/>
        </w:rPr>
      </w:pPr>
    </w:p>
    <w:p w14:paraId="49FA9507">
      <w:pPr>
        <w:adjustRightInd w:val="0"/>
        <w:snapToGrid w:val="0"/>
        <w:spacing w:line="360" w:lineRule="auto"/>
        <w:rPr>
          <w:rFonts w:asciiTheme="minorEastAsia" w:hAnsiTheme="minorEastAsia" w:eastAsiaTheme="minorEastAsia"/>
          <w:b/>
          <w:bCs/>
          <w:sz w:val="32"/>
        </w:rPr>
      </w:pPr>
    </w:p>
    <w:p w14:paraId="11641E30">
      <w:pPr>
        <w:adjustRightInd w:val="0"/>
        <w:snapToGrid w:val="0"/>
        <w:spacing w:line="360" w:lineRule="auto"/>
        <w:rPr>
          <w:rFonts w:asciiTheme="minorEastAsia" w:hAnsiTheme="minorEastAsia" w:eastAsiaTheme="minorEastAsia"/>
          <w:b/>
          <w:bCs/>
          <w:sz w:val="32"/>
        </w:rPr>
      </w:pPr>
    </w:p>
    <w:p w14:paraId="25C714DC">
      <w:pPr>
        <w:adjustRightInd w:val="0"/>
        <w:snapToGrid w:val="0"/>
        <w:spacing w:line="360" w:lineRule="auto"/>
        <w:rPr>
          <w:rFonts w:asciiTheme="minorEastAsia" w:hAnsiTheme="minorEastAsia" w:eastAsiaTheme="minorEastAsia"/>
          <w:b/>
          <w:bCs/>
          <w:sz w:val="32"/>
        </w:rPr>
      </w:pPr>
    </w:p>
    <w:p w14:paraId="7120376B">
      <w:pPr>
        <w:spacing w:line="480" w:lineRule="exact"/>
        <w:jc w:val="center"/>
        <w:outlineLvl w:val="0"/>
        <w:rPr>
          <w:rFonts w:ascii="方正小标宋_GBK" w:hAnsi="微软雅黑" w:eastAsia="方正小标宋_GBK"/>
          <w:sz w:val="30"/>
          <w:szCs w:val="30"/>
        </w:rPr>
      </w:pPr>
    </w:p>
    <w:p w14:paraId="50CAEEB2">
      <w:pPr>
        <w:jc w:val="center"/>
        <w:rPr>
          <w:rFonts w:hint="default" w:ascii="方正小标宋_GBK" w:eastAsia="方正小标宋_GBK"/>
          <w:lang w:val="en-US" w:eastAsia="zh-CN"/>
        </w:rPr>
      </w:pPr>
      <w:r>
        <w:rPr>
          <w:rFonts w:hint="eastAsia" w:ascii="方正小标宋_GBK" w:eastAsia="方正小标宋_GBK"/>
          <w:sz w:val="32"/>
        </w:rPr>
        <w:t>采购人：</w:t>
      </w:r>
      <w:r>
        <w:rPr>
          <w:rFonts w:hint="eastAsia" w:ascii="方正小标宋_GBK" w:eastAsia="方正小标宋_GBK"/>
          <w:sz w:val="32"/>
          <w:lang w:val="en-US" w:eastAsia="zh-CN"/>
        </w:rPr>
        <w:t>重庆市计量质量检测研究院</w:t>
      </w:r>
    </w:p>
    <w:p w14:paraId="30404AFE">
      <w:pPr>
        <w:snapToGrid w:val="0"/>
        <w:spacing w:line="480" w:lineRule="exact"/>
        <w:jc w:val="center"/>
        <w:rPr>
          <w:rFonts w:ascii="方正小标宋_GBK" w:hAnsi="微软雅黑" w:eastAsia="方正小标宋_GBK"/>
          <w:sz w:val="30"/>
          <w:szCs w:val="30"/>
        </w:rPr>
      </w:pPr>
    </w:p>
    <w:p w14:paraId="0317220D">
      <w:pPr>
        <w:snapToGrid w:val="0"/>
        <w:spacing w:line="480" w:lineRule="exact"/>
        <w:jc w:val="center"/>
        <w:rPr>
          <w:rFonts w:ascii="黑体" w:hAnsi="黑体" w:eastAsia="黑体"/>
          <w:sz w:val="30"/>
          <w:szCs w:val="30"/>
        </w:rPr>
      </w:pPr>
      <w:r>
        <w:rPr>
          <w:rFonts w:hint="eastAsia" w:ascii="黑体" w:hAnsi="黑体" w:eastAsia="黑体"/>
          <w:sz w:val="30"/>
          <w:szCs w:val="30"/>
        </w:rPr>
        <w:t>二○二</w:t>
      </w:r>
      <w:r>
        <w:rPr>
          <w:rFonts w:hint="eastAsia" w:ascii="黑体" w:hAnsi="黑体" w:eastAsia="黑体"/>
          <w:sz w:val="30"/>
          <w:szCs w:val="30"/>
          <w:lang w:val="en-US" w:eastAsia="zh-CN"/>
        </w:rPr>
        <w:t>五</w:t>
      </w:r>
      <w:r>
        <w:rPr>
          <w:rFonts w:hint="eastAsia" w:ascii="黑体" w:hAnsi="黑体" w:eastAsia="黑体"/>
          <w:sz w:val="30"/>
          <w:szCs w:val="30"/>
        </w:rPr>
        <w:t>年</w:t>
      </w:r>
      <w:r>
        <w:rPr>
          <w:rFonts w:hint="eastAsia" w:ascii="黑体" w:hAnsi="黑体" w:eastAsia="黑体"/>
          <w:sz w:val="30"/>
          <w:szCs w:val="30"/>
          <w:lang w:val="en-US" w:eastAsia="zh-CN"/>
        </w:rPr>
        <w:t>九</w:t>
      </w:r>
      <w:r>
        <w:rPr>
          <w:rFonts w:hint="eastAsia" w:ascii="黑体" w:hAnsi="黑体" w:eastAsia="黑体"/>
          <w:sz w:val="30"/>
          <w:szCs w:val="30"/>
        </w:rPr>
        <w:t>月</w:t>
      </w:r>
    </w:p>
    <w:p w14:paraId="681E6AF1">
      <w:pPr>
        <w:snapToGrid w:val="0"/>
        <w:spacing w:line="480" w:lineRule="exact"/>
        <w:rPr>
          <w:rFonts w:ascii="黑体" w:hAnsi="黑体" w:eastAsia="黑体"/>
          <w:sz w:val="30"/>
          <w:szCs w:val="30"/>
        </w:rPr>
        <w:sectPr>
          <w:headerReference r:id="rId4" w:type="first"/>
          <w:headerReference r:id="rId3" w:type="default"/>
          <w:footerReference r:id="rId5" w:type="default"/>
          <w:footerReference r:id="rId6" w:type="even"/>
          <w:pgSz w:w="11907" w:h="16840"/>
          <w:pgMar w:top="1134" w:right="1191" w:bottom="1134" w:left="1304" w:header="964"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680E4948">
      <w:pPr>
        <w:jc w:val="center"/>
        <w:rPr>
          <w:rFonts w:asciiTheme="minorEastAsia" w:hAnsiTheme="minorEastAsia" w:eastAsiaTheme="minorEastAsia"/>
          <w:b/>
          <w:sz w:val="44"/>
          <w:szCs w:val="36"/>
        </w:rPr>
      </w:pPr>
      <w:bookmarkStart w:id="0" w:name="_Toc68963457"/>
      <w:r>
        <w:rPr>
          <w:rFonts w:hint="eastAsia" w:asciiTheme="minorEastAsia" w:hAnsiTheme="minorEastAsia" w:eastAsiaTheme="minorEastAsia"/>
          <w:b/>
          <w:sz w:val="44"/>
          <w:szCs w:val="36"/>
        </w:rPr>
        <w:t>目 录</w:t>
      </w:r>
      <w:bookmarkEnd w:id="0"/>
    </w:p>
    <w:p w14:paraId="76D9D9E0">
      <w:pPr>
        <w:tabs>
          <w:tab w:val="left" w:pos="420"/>
        </w:tabs>
        <w:jc w:val="center"/>
        <w:rPr>
          <w:rFonts w:asciiTheme="minorEastAsia" w:hAnsiTheme="minorEastAsia" w:eastAsiaTheme="minorEastAsia"/>
          <w:b/>
          <w:sz w:val="44"/>
          <w:szCs w:val="36"/>
        </w:rPr>
      </w:pPr>
    </w:p>
    <w:p w14:paraId="5D0DD958">
      <w:pPr>
        <w:pStyle w:val="28"/>
        <w:tabs>
          <w:tab w:val="right" w:leader="dot" w:pos="9525"/>
          <w:tab w:val="clear" w:pos="8302"/>
        </w:tabs>
      </w:pPr>
      <w:r>
        <w:rPr>
          <w:rFonts w:hint="eastAsia" w:ascii="微软雅黑" w:hAnsi="微软雅黑" w:eastAsia="微软雅黑" w:cs="仿宋"/>
          <w:sz w:val="24"/>
        </w:rPr>
        <w:fldChar w:fldCharType="begin"/>
      </w:r>
      <w:r>
        <w:rPr>
          <w:rFonts w:hint="eastAsia" w:ascii="微软雅黑" w:hAnsi="微软雅黑" w:eastAsia="微软雅黑" w:cs="仿宋"/>
          <w:sz w:val="24"/>
        </w:rPr>
        <w:instrText xml:space="preserve"> TOC \o "1-3" \h \z \u </w:instrText>
      </w:r>
      <w:r>
        <w:rPr>
          <w:rFonts w:hint="eastAsia" w:ascii="微软雅黑" w:hAnsi="微软雅黑" w:eastAsia="微软雅黑" w:cs="仿宋"/>
          <w:sz w:val="24"/>
        </w:rPr>
        <w:fldChar w:fldCharType="separate"/>
      </w: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_Toc18254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第一章 比选邀请书</w:t>
      </w:r>
      <w:r>
        <w:tab/>
      </w:r>
      <w:r>
        <w:fldChar w:fldCharType="begin"/>
      </w:r>
      <w:r>
        <w:instrText xml:space="preserve"> PAGEREF _Toc18254 \h </w:instrText>
      </w:r>
      <w:r>
        <w:fldChar w:fldCharType="separate"/>
      </w:r>
      <w:r>
        <w:t>1</w:t>
      </w:r>
      <w:r>
        <w:fldChar w:fldCharType="end"/>
      </w:r>
      <w:r>
        <w:rPr>
          <w:rFonts w:hint="eastAsia" w:ascii="微软雅黑" w:hAnsi="微软雅黑" w:eastAsia="微软雅黑" w:cs="仿宋"/>
        </w:rPr>
        <w:fldChar w:fldCharType="end"/>
      </w:r>
    </w:p>
    <w:p w14:paraId="372BDB26">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_Toc27859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第二章 比选供应商须知</w:t>
      </w:r>
      <w:r>
        <w:tab/>
      </w:r>
      <w:r>
        <w:fldChar w:fldCharType="begin"/>
      </w:r>
      <w:r>
        <w:instrText xml:space="preserve"> PAGEREF _Toc27859 \h </w:instrText>
      </w:r>
      <w:r>
        <w:fldChar w:fldCharType="separate"/>
      </w:r>
      <w:r>
        <w:t>3</w:t>
      </w:r>
      <w:r>
        <w:fldChar w:fldCharType="end"/>
      </w:r>
      <w:r>
        <w:rPr>
          <w:rFonts w:hint="eastAsia" w:ascii="微软雅黑" w:hAnsi="微软雅黑" w:eastAsia="微软雅黑" w:cs="仿宋"/>
        </w:rPr>
        <w:fldChar w:fldCharType="end"/>
      </w:r>
    </w:p>
    <w:p w14:paraId="546E5DFC">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_Toc26758 </w:instrText>
      </w:r>
      <w:r>
        <w:rPr>
          <w:rFonts w:hint="eastAsia" w:ascii="微软雅黑" w:hAnsi="微软雅黑" w:eastAsia="微软雅黑" w:cs="仿宋"/>
        </w:rPr>
        <w:fldChar w:fldCharType="separate"/>
      </w:r>
      <w:r>
        <w:rPr>
          <w:rFonts w:hint="eastAsia" w:ascii="微软雅黑" w:hAnsi="微软雅黑" w:eastAsia="微软雅黑"/>
          <w:szCs w:val="28"/>
        </w:rPr>
        <w:t>一、总  则</w:t>
      </w:r>
      <w:r>
        <w:tab/>
      </w:r>
      <w:r>
        <w:fldChar w:fldCharType="begin"/>
      </w:r>
      <w:r>
        <w:instrText xml:space="preserve"> PAGEREF _Toc26758 \h </w:instrText>
      </w:r>
      <w:r>
        <w:fldChar w:fldCharType="separate"/>
      </w:r>
      <w:r>
        <w:t>4</w:t>
      </w:r>
      <w:r>
        <w:fldChar w:fldCharType="end"/>
      </w:r>
      <w:r>
        <w:rPr>
          <w:rFonts w:hint="eastAsia" w:ascii="微软雅黑" w:hAnsi="微软雅黑" w:eastAsia="微软雅黑" w:cs="仿宋"/>
        </w:rPr>
        <w:fldChar w:fldCharType="end"/>
      </w:r>
    </w:p>
    <w:p w14:paraId="59E6B724">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_Toc31251 </w:instrText>
      </w:r>
      <w:r>
        <w:rPr>
          <w:rFonts w:hint="eastAsia" w:ascii="微软雅黑" w:hAnsi="微软雅黑" w:eastAsia="微软雅黑" w:cs="仿宋"/>
        </w:rPr>
        <w:fldChar w:fldCharType="separate"/>
      </w:r>
      <w:r>
        <w:rPr>
          <w:rFonts w:hint="eastAsia" w:ascii="微软雅黑" w:hAnsi="微软雅黑" w:eastAsia="微软雅黑"/>
          <w:szCs w:val="28"/>
        </w:rPr>
        <w:t>二、比选文件</w:t>
      </w:r>
      <w:r>
        <w:tab/>
      </w:r>
      <w:r>
        <w:fldChar w:fldCharType="begin"/>
      </w:r>
      <w:r>
        <w:instrText xml:space="preserve"> PAGEREF _Toc31251 \h </w:instrText>
      </w:r>
      <w:r>
        <w:fldChar w:fldCharType="separate"/>
      </w:r>
      <w:r>
        <w:t>5</w:t>
      </w:r>
      <w:r>
        <w:fldChar w:fldCharType="end"/>
      </w:r>
      <w:r>
        <w:rPr>
          <w:rFonts w:hint="eastAsia" w:ascii="微软雅黑" w:hAnsi="微软雅黑" w:eastAsia="微软雅黑" w:cs="仿宋"/>
        </w:rPr>
        <w:fldChar w:fldCharType="end"/>
      </w:r>
    </w:p>
    <w:p w14:paraId="3711845E">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_Toc6956 </w:instrText>
      </w:r>
      <w:r>
        <w:rPr>
          <w:rFonts w:hint="eastAsia" w:ascii="微软雅黑" w:hAnsi="微软雅黑" w:eastAsia="微软雅黑" w:cs="仿宋"/>
        </w:rPr>
        <w:fldChar w:fldCharType="separate"/>
      </w:r>
      <w:r>
        <w:rPr>
          <w:rFonts w:hint="eastAsia" w:ascii="微软雅黑" w:hAnsi="微软雅黑" w:eastAsia="微软雅黑"/>
          <w:szCs w:val="28"/>
        </w:rPr>
        <w:t>三、比选响应文件的编制</w:t>
      </w:r>
      <w:r>
        <w:tab/>
      </w:r>
      <w:r>
        <w:fldChar w:fldCharType="begin"/>
      </w:r>
      <w:r>
        <w:instrText xml:space="preserve"> PAGEREF _Toc6956 \h </w:instrText>
      </w:r>
      <w:r>
        <w:fldChar w:fldCharType="separate"/>
      </w:r>
      <w:r>
        <w:t>6</w:t>
      </w:r>
      <w:r>
        <w:fldChar w:fldCharType="end"/>
      </w:r>
      <w:r>
        <w:rPr>
          <w:rFonts w:hint="eastAsia" w:ascii="微软雅黑" w:hAnsi="微软雅黑" w:eastAsia="微软雅黑" w:cs="仿宋"/>
        </w:rPr>
        <w:fldChar w:fldCharType="end"/>
      </w:r>
    </w:p>
    <w:p w14:paraId="523B342E">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_Toc19344 </w:instrText>
      </w:r>
      <w:r>
        <w:rPr>
          <w:rFonts w:hint="eastAsia" w:ascii="微软雅黑" w:hAnsi="微软雅黑" w:eastAsia="微软雅黑" w:cs="仿宋"/>
        </w:rPr>
        <w:fldChar w:fldCharType="separate"/>
      </w:r>
      <w:r>
        <w:rPr>
          <w:rFonts w:hint="eastAsia" w:ascii="微软雅黑" w:hAnsi="微软雅黑" w:eastAsia="微软雅黑"/>
          <w:szCs w:val="28"/>
        </w:rPr>
        <w:t>四、比选响应文件的递交</w:t>
      </w:r>
      <w:r>
        <w:tab/>
      </w:r>
      <w:r>
        <w:fldChar w:fldCharType="begin"/>
      </w:r>
      <w:r>
        <w:instrText xml:space="preserve"> PAGEREF _Toc19344 \h </w:instrText>
      </w:r>
      <w:r>
        <w:fldChar w:fldCharType="separate"/>
      </w:r>
      <w:r>
        <w:t>9</w:t>
      </w:r>
      <w:r>
        <w:fldChar w:fldCharType="end"/>
      </w:r>
      <w:r>
        <w:rPr>
          <w:rFonts w:hint="eastAsia" w:ascii="微软雅黑" w:hAnsi="微软雅黑" w:eastAsia="微软雅黑" w:cs="仿宋"/>
        </w:rPr>
        <w:fldChar w:fldCharType="end"/>
      </w:r>
    </w:p>
    <w:p w14:paraId="15288FBC">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_Toc138 </w:instrText>
      </w:r>
      <w:r>
        <w:rPr>
          <w:rFonts w:hint="eastAsia" w:ascii="微软雅黑" w:hAnsi="微软雅黑" w:eastAsia="微软雅黑" w:cs="仿宋"/>
        </w:rPr>
        <w:fldChar w:fldCharType="separate"/>
      </w:r>
      <w:r>
        <w:rPr>
          <w:rFonts w:hint="eastAsia" w:ascii="微软雅黑" w:hAnsi="微软雅黑" w:eastAsia="微软雅黑"/>
          <w:szCs w:val="28"/>
        </w:rPr>
        <w:t>五、比选与评审</w:t>
      </w:r>
      <w:r>
        <w:tab/>
      </w:r>
      <w:r>
        <w:fldChar w:fldCharType="begin"/>
      </w:r>
      <w:r>
        <w:instrText xml:space="preserve"> PAGEREF _Toc138 \h </w:instrText>
      </w:r>
      <w:r>
        <w:fldChar w:fldCharType="separate"/>
      </w:r>
      <w:r>
        <w:t>10</w:t>
      </w:r>
      <w:r>
        <w:fldChar w:fldCharType="end"/>
      </w:r>
      <w:r>
        <w:rPr>
          <w:rFonts w:hint="eastAsia" w:ascii="微软雅黑" w:hAnsi="微软雅黑" w:eastAsia="微软雅黑" w:cs="仿宋"/>
        </w:rPr>
        <w:fldChar w:fldCharType="end"/>
      </w:r>
    </w:p>
    <w:p w14:paraId="346C5D58">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_Toc19357 </w:instrText>
      </w:r>
      <w:r>
        <w:rPr>
          <w:rFonts w:hint="eastAsia" w:ascii="微软雅黑" w:hAnsi="微软雅黑" w:eastAsia="微软雅黑" w:cs="仿宋"/>
        </w:rPr>
        <w:fldChar w:fldCharType="separate"/>
      </w:r>
      <w:r>
        <w:rPr>
          <w:rFonts w:hint="eastAsia" w:ascii="微软雅黑" w:hAnsi="微软雅黑" w:eastAsia="微软雅黑"/>
          <w:szCs w:val="28"/>
        </w:rPr>
        <w:t>六、合同的授予</w:t>
      </w:r>
      <w:r>
        <w:tab/>
      </w:r>
      <w:r>
        <w:fldChar w:fldCharType="begin"/>
      </w:r>
      <w:r>
        <w:instrText xml:space="preserve"> PAGEREF _Toc19357 \h </w:instrText>
      </w:r>
      <w:r>
        <w:fldChar w:fldCharType="separate"/>
      </w:r>
      <w:r>
        <w:t>12</w:t>
      </w:r>
      <w:r>
        <w:fldChar w:fldCharType="end"/>
      </w:r>
      <w:r>
        <w:rPr>
          <w:rFonts w:hint="eastAsia" w:ascii="微软雅黑" w:hAnsi="微软雅黑" w:eastAsia="微软雅黑" w:cs="仿宋"/>
        </w:rPr>
        <w:fldChar w:fldCharType="end"/>
      </w:r>
    </w:p>
    <w:p w14:paraId="4AAFB168">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_Toc14093 </w:instrText>
      </w:r>
      <w:r>
        <w:rPr>
          <w:rFonts w:hint="eastAsia" w:ascii="微软雅黑" w:hAnsi="微软雅黑" w:eastAsia="微软雅黑" w:cs="仿宋"/>
        </w:rPr>
        <w:fldChar w:fldCharType="separate"/>
      </w:r>
      <w:r>
        <w:rPr>
          <w:rFonts w:hint="eastAsia" w:ascii="微软雅黑" w:hAnsi="微软雅黑" w:eastAsia="微软雅黑" w:cs="Times New Roman"/>
          <w:bCs/>
          <w:kern w:val="2"/>
          <w:szCs w:val="28"/>
          <w:lang w:val="en-US" w:eastAsia="zh-CN" w:bidi="ar-SA"/>
        </w:rPr>
        <w:t>第三章 合同格式</w:t>
      </w:r>
      <w:r>
        <w:tab/>
      </w:r>
      <w:r>
        <w:fldChar w:fldCharType="begin"/>
      </w:r>
      <w:r>
        <w:instrText xml:space="preserve"> PAGEREF _Toc14093 \h </w:instrText>
      </w:r>
      <w:r>
        <w:fldChar w:fldCharType="separate"/>
      </w:r>
      <w:r>
        <w:t>13</w:t>
      </w:r>
      <w:r>
        <w:fldChar w:fldCharType="end"/>
      </w:r>
      <w:r>
        <w:rPr>
          <w:rFonts w:hint="eastAsia" w:ascii="微软雅黑" w:hAnsi="微软雅黑" w:eastAsia="微软雅黑" w:cs="仿宋"/>
        </w:rPr>
        <w:fldChar w:fldCharType="end"/>
      </w:r>
    </w:p>
    <w:p w14:paraId="1F0D82BD">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_Toc11957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w:t>
      </w:r>
      <w:r>
        <w:rPr>
          <w:rFonts w:ascii="微软雅黑" w:hAnsi="微软雅黑" w:eastAsia="微软雅黑"/>
          <w:bCs w:val="0"/>
          <w:kern w:val="2"/>
          <w:szCs w:val="36"/>
        </w:rPr>
        <w:t>四章</w:t>
      </w:r>
      <w:r>
        <w:rPr>
          <w:rFonts w:hint="eastAsia" w:ascii="微软雅黑" w:hAnsi="微软雅黑" w:eastAsia="微软雅黑"/>
          <w:bCs w:val="0"/>
          <w:kern w:val="2"/>
          <w:szCs w:val="36"/>
        </w:rPr>
        <w:t xml:space="preserve"> </w:t>
      </w:r>
      <w:r>
        <w:rPr>
          <w:rFonts w:hint="eastAsia" w:ascii="微软雅黑" w:hAnsi="微软雅黑" w:eastAsia="微软雅黑"/>
          <w:bCs w:val="0"/>
          <w:kern w:val="2"/>
          <w:szCs w:val="36"/>
          <w:lang w:val="en-US" w:eastAsia="zh-CN"/>
        </w:rPr>
        <w:t>项目</w:t>
      </w:r>
      <w:r>
        <w:rPr>
          <w:rFonts w:hint="eastAsia" w:ascii="微软雅黑" w:hAnsi="微软雅黑" w:eastAsia="微软雅黑"/>
          <w:bCs w:val="0"/>
          <w:kern w:val="2"/>
          <w:szCs w:val="36"/>
        </w:rPr>
        <w:t>需求及说明</w:t>
      </w:r>
      <w:r>
        <w:tab/>
      </w:r>
      <w:r>
        <w:fldChar w:fldCharType="begin"/>
      </w:r>
      <w:r>
        <w:instrText xml:space="preserve"> PAGEREF _Toc11957 \h </w:instrText>
      </w:r>
      <w:r>
        <w:fldChar w:fldCharType="separate"/>
      </w:r>
      <w:r>
        <w:t>38</w:t>
      </w:r>
      <w:r>
        <w:fldChar w:fldCharType="end"/>
      </w:r>
      <w:r>
        <w:rPr>
          <w:rFonts w:hint="eastAsia" w:ascii="微软雅黑" w:hAnsi="微软雅黑" w:eastAsia="微软雅黑" w:cs="仿宋"/>
        </w:rPr>
        <w:fldChar w:fldCharType="end"/>
      </w:r>
    </w:p>
    <w:p w14:paraId="327EF220">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_Toc31230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w:t>
      </w:r>
      <w:r>
        <w:rPr>
          <w:rFonts w:ascii="微软雅黑" w:hAnsi="微软雅黑" w:eastAsia="微软雅黑"/>
          <w:bCs w:val="0"/>
          <w:kern w:val="2"/>
          <w:szCs w:val="36"/>
        </w:rPr>
        <w:t>五章</w:t>
      </w:r>
      <w:r>
        <w:rPr>
          <w:rFonts w:hint="eastAsia" w:ascii="微软雅黑" w:hAnsi="微软雅黑" w:eastAsia="微软雅黑"/>
          <w:bCs w:val="0"/>
          <w:kern w:val="2"/>
          <w:szCs w:val="36"/>
        </w:rPr>
        <w:t xml:space="preserve"> 比选响应文件格式</w:t>
      </w:r>
      <w:r>
        <w:tab/>
      </w:r>
      <w:r>
        <w:fldChar w:fldCharType="begin"/>
      </w:r>
      <w:r>
        <w:instrText xml:space="preserve"> PAGEREF _Toc31230 \h </w:instrText>
      </w:r>
      <w:r>
        <w:fldChar w:fldCharType="separate"/>
      </w:r>
      <w:r>
        <w:t>39</w:t>
      </w:r>
      <w:r>
        <w:fldChar w:fldCharType="end"/>
      </w:r>
      <w:r>
        <w:rPr>
          <w:rFonts w:hint="eastAsia" w:ascii="微软雅黑" w:hAnsi="微软雅黑" w:eastAsia="微软雅黑" w:cs="仿宋"/>
        </w:rPr>
        <w:fldChar w:fldCharType="end"/>
      </w:r>
    </w:p>
    <w:p w14:paraId="008C9C87">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_Toc8400 </w:instrText>
      </w:r>
      <w:r>
        <w:rPr>
          <w:rFonts w:hint="eastAsia" w:ascii="微软雅黑" w:hAnsi="微软雅黑" w:eastAsia="微软雅黑" w:cs="仿宋"/>
        </w:rPr>
        <w:fldChar w:fldCharType="separate"/>
      </w:r>
      <w:r>
        <w:rPr>
          <w:rFonts w:hint="eastAsia" w:ascii="微软雅黑" w:hAnsi="微软雅黑" w:eastAsia="微软雅黑"/>
        </w:rPr>
        <w:t>一、比选函</w:t>
      </w:r>
      <w:r>
        <w:tab/>
      </w:r>
      <w:r>
        <w:fldChar w:fldCharType="begin"/>
      </w:r>
      <w:r>
        <w:instrText xml:space="preserve"> PAGEREF _Toc8400 \h </w:instrText>
      </w:r>
      <w:r>
        <w:fldChar w:fldCharType="separate"/>
      </w:r>
      <w:r>
        <w:t>40</w:t>
      </w:r>
      <w:r>
        <w:fldChar w:fldCharType="end"/>
      </w:r>
      <w:r>
        <w:rPr>
          <w:rFonts w:hint="eastAsia" w:ascii="微软雅黑" w:hAnsi="微软雅黑" w:eastAsia="微软雅黑" w:cs="仿宋"/>
        </w:rPr>
        <w:fldChar w:fldCharType="end"/>
      </w:r>
    </w:p>
    <w:p w14:paraId="2FABAD2B">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_Toc29701 </w:instrText>
      </w:r>
      <w:r>
        <w:rPr>
          <w:rFonts w:hint="eastAsia" w:ascii="微软雅黑" w:hAnsi="微软雅黑" w:eastAsia="微软雅黑" w:cs="仿宋"/>
        </w:rPr>
        <w:fldChar w:fldCharType="separate"/>
      </w:r>
      <w:r>
        <w:rPr>
          <w:rFonts w:hint="eastAsia" w:ascii="微软雅黑" w:hAnsi="微软雅黑" w:eastAsia="微软雅黑"/>
        </w:rPr>
        <w:t>二、比选报价明细表</w:t>
      </w:r>
      <w:r>
        <w:tab/>
      </w:r>
      <w:r>
        <w:fldChar w:fldCharType="begin"/>
      </w:r>
      <w:r>
        <w:instrText xml:space="preserve"> PAGEREF _Toc29701 \h </w:instrText>
      </w:r>
      <w:r>
        <w:fldChar w:fldCharType="separate"/>
      </w:r>
      <w:r>
        <w:t>41</w:t>
      </w:r>
      <w:r>
        <w:fldChar w:fldCharType="end"/>
      </w:r>
      <w:r>
        <w:rPr>
          <w:rFonts w:hint="eastAsia" w:ascii="微软雅黑" w:hAnsi="微软雅黑" w:eastAsia="微软雅黑" w:cs="仿宋"/>
        </w:rPr>
        <w:fldChar w:fldCharType="end"/>
      </w:r>
    </w:p>
    <w:p w14:paraId="62674530">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_Toc15959 </w:instrText>
      </w:r>
      <w:r>
        <w:rPr>
          <w:rFonts w:hint="eastAsia" w:ascii="微软雅黑" w:hAnsi="微软雅黑" w:eastAsia="微软雅黑" w:cs="仿宋"/>
        </w:rPr>
        <w:fldChar w:fldCharType="separate"/>
      </w:r>
      <w:r>
        <w:rPr>
          <w:rFonts w:hint="eastAsia" w:ascii="微软雅黑" w:hAnsi="微软雅黑" w:eastAsia="微软雅黑"/>
        </w:rPr>
        <w:t>三、资质证明文件</w:t>
      </w:r>
      <w:r>
        <w:tab/>
      </w:r>
      <w:r>
        <w:fldChar w:fldCharType="begin"/>
      </w:r>
      <w:r>
        <w:instrText xml:space="preserve"> PAGEREF _Toc15959 \h </w:instrText>
      </w:r>
      <w:r>
        <w:fldChar w:fldCharType="separate"/>
      </w:r>
      <w:r>
        <w:t>42</w:t>
      </w:r>
      <w:r>
        <w:fldChar w:fldCharType="end"/>
      </w:r>
      <w:r>
        <w:rPr>
          <w:rFonts w:hint="eastAsia" w:ascii="微软雅黑" w:hAnsi="微软雅黑" w:eastAsia="微软雅黑" w:cs="仿宋"/>
        </w:rPr>
        <w:fldChar w:fldCharType="end"/>
      </w:r>
    </w:p>
    <w:p w14:paraId="49FE0181">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_Toc699 </w:instrText>
      </w:r>
      <w:r>
        <w:rPr>
          <w:rFonts w:hint="eastAsia" w:ascii="微软雅黑" w:hAnsi="微软雅黑" w:eastAsia="微软雅黑" w:cs="仿宋"/>
        </w:rPr>
        <w:fldChar w:fldCharType="separate"/>
      </w:r>
      <w:r>
        <w:rPr>
          <w:rFonts w:hint="eastAsia" w:ascii="微软雅黑" w:hAnsi="微软雅黑" w:eastAsia="微软雅黑"/>
        </w:rPr>
        <w:t>四、</w:t>
      </w:r>
      <w:r>
        <w:rPr>
          <w:rFonts w:hint="eastAsia" w:ascii="微软雅黑" w:hAnsi="微软雅黑" w:eastAsia="微软雅黑"/>
          <w:lang w:val="en-US" w:eastAsia="zh-CN"/>
        </w:rPr>
        <w:t>项目施工</w:t>
      </w:r>
      <w:r>
        <w:rPr>
          <w:rFonts w:hint="eastAsia" w:ascii="微软雅黑" w:hAnsi="微软雅黑" w:eastAsia="微软雅黑"/>
        </w:rPr>
        <w:t>方案</w:t>
      </w:r>
      <w:r>
        <w:tab/>
      </w:r>
      <w:r>
        <w:fldChar w:fldCharType="begin"/>
      </w:r>
      <w:r>
        <w:instrText xml:space="preserve"> PAGEREF _Toc699 \h </w:instrText>
      </w:r>
      <w:r>
        <w:fldChar w:fldCharType="separate"/>
      </w:r>
      <w:r>
        <w:t>45</w:t>
      </w:r>
      <w:r>
        <w:fldChar w:fldCharType="end"/>
      </w:r>
      <w:r>
        <w:rPr>
          <w:rFonts w:hint="eastAsia" w:ascii="微软雅黑" w:hAnsi="微软雅黑" w:eastAsia="微软雅黑" w:cs="仿宋"/>
        </w:rPr>
        <w:fldChar w:fldCharType="end"/>
      </w:r>
    </w:p>
    <w:p w14:paraId="037BAE58">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_Toc15858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第六章、评审办法</w:t>
      </w:r>
      <w:r>
        <w:tab/>
      </w:r>
      <w:r>
        <w:fldChar w:fldCharType="begin"/>
      </w:r>
      <w:r>
        <w:instrText xml:space="preserve"> PAGEREF _Toc15858 \h </w:instrText>
      </w:r>
      <w:r>
        <w:fldChar w:fldCharType="separate"/>
      </w:r>
      <w:r>
        <w:t>46</w:t>
      </w:r>
      <w:r>
        <w:fldChar w:fldCharType="end"/>
      </w:r>
      <w:r>
        <w:rPr>
          <w:rFonts w:hint="eastAsia" w:ascii="微软雅黑" w:hAnsi="微软雅黑" w:eastAsia="微软雅黑" w:cs="仿宋"/>
        </w:rPr>
        <w:fldChar w:fldCharType="end"/>
      </w:r>
    </w:p>
    <w:p w14:paraId="2E7A08A2">
      <w:pPr>
        <w:widowControl w:val="0"/>
        <w:tabs>
          <w:tab w:val="left" w:pos="420"/>
          <w:tab w:val="left" w:pos="1260"/>
          <w:tab w:val="right" w:leader="dot" w:pos="8302"/>
        </w:tabs>
        <w:spacing w:line="300" w:lineRule="exact"/>
        <w:ind w:left="420" w:leftChars="200"/>
        <w:rPr>
          <w:rFonts w:ascii="微软雅黑" w:hAnsi="微软雅黑" w:eastAsia="微软雅黑" w:cs="仿宋"/>
          <w:sz w:val="24"/>
        </w:rPr>
      </w:pPr>
      <w:r>
        <w:rPr>
          <w:rFonts w:hint="eastAsia" w:ascii="微软雅黑" w:hAnsi="微软雅黑" w:eastAsia="微软雅黑" w:cs="仿宋"/>
        </w:rPr>
        <w:fldChar w:fldCharType="end"/>
      </w:r>
    </w:p>
    <w:p w14:paraId="3C2022D6">
      <w:pPr>
        <w:rPr>
          <w:rFonts w:ascii="微软雅黑" w:hAnsi="微软雅黑" w:eastAsia="微软雅黑" w:cs="仿宋"/>
          <w:sz w:val="24"/>
        </w:rPr>
        <w:sectPr>
          <w:headerReference r:id="rId7" w:type="default"/>
          <w:footerReference r:id="rId8" w:type="default"/>
          <w:pgSz w:w="11906" w:h="16838"/>
          <w:pgMar w:top="851" w:right="1134" w:bottom="851"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2CB2CB3">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1" w:name="_Toc18254"/>
      <w:r>
        <w:rPr>
          <w:rFonts w:hint="eastAsia" w:ascii="微软雅黑" w:hAnsi="微软雅黑" w:eastAsia="微软雅黑"/>
          <w:bCs w:val="0"/>
          <w:kern w:val="2"/>
          <w:szCs w:val="36"/>
        </w:rPr>
        <w:t>第一章 比选邀请书</w:t>
      </w:r>
      <w:bookmarkEnd w:id="1"/>
    </w:p>
    <w:p w14:paraId="4E52C942">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（被邀请单位名称）：</w:t>
      </w:r>
    </w:p>
    <w:p w14:paraId="2B600CD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重庆市计量质量检测研究院</w:t>
      </w:r>
      <w:r>
        <w:rPr>
          <w:rFonts w:hint="eastAsia" w:ascii="微软雅黑" w:hAnsi="微软雅黑" w:eastAsia="微软雅黑"/>
          <w:szCs w:val="21"/>
        </w:rPr>
        <w:t>按照《重庆市财政局关于印发&lt;重庆市政府集中采购目录及采购限额标准&gt;的通知》（渝财规〔2023〕10号）文件精神及其说明，对“</w:t>
      </w:r>
      <w:r>
        <w:rPr>
          <w:rFonts w:hint="eastAsia" w:ascii="微软雅黑" w:hAnsi="微软雅黑" w:eastAsia="微软雅黑"/>
          <w:szCs w:val="21"/>
          <w:lang w:eastAsia="zh-CN"/>
        </w:rPr>
        <w:t>院本部和国家质检基地消防设施维保项目</w:t>
      </w:r>
      <w:r>
        <w:rPr>
          <w:rFonts w:hint="eastAsia" w:ascii="微软雅黑" w:hAnsi="微软雅黑" w:eastAsia="微软雅黑"/>
          <w:szCs w:val="21"/>
        </w:rPr>
        <w:t>”组织竞争性比选采购，</w:t>
      </w:r>
      <w:r>
        <w:rPr>
          <w:rFonts w:ascii="微软雅黑" w:hAnsi="微软雅黑" w:eastAsia="微软雅黑"/>
          <w:szCs w:val="21"/>
        </w:rPr>
        <w:t>请</w:t>
      </w:r>
      <w:r>
        <w:rPr>
          <w:rFonts w:hint="eastAsia" w:ascii="微软雅黑" w:hAnsi="微软雅黑" w:eastAsia="微软雅黑"/>
          <w:szCs w:val="21"/>
        </w:rPr>
        <w:t>被邀请供应商</w:t>
      </w:r>
      <w:r>
        <w:rPr>
          <w:rFonts w:ascii="微软雅黑" w:hAnsi="微软雅黑" w:eastAsia="微软雅黑"/>
          <w:szCs w:val="21"/>
        </w:rPr>
        <w:t>就如下项目提交密封响应文件并进行</w:t>
      </w:r>
      <w:r>
        <w:rPr>
          <w:rFonts w:hint="eastAsia" w:ascii="微软雅黑" w:hAnsi="微软雅黑" w:eastAsia="微软雅黑"/>
          <w:szCs w:val="21"/>
        </w:rPr>
        <w:t>比选</w:t>
      </w:r>
      <w:r>
        <w:rPr>
          <w:rFonts w:ascii="微软雅黑" w:hAnsi="微软雅黑" w:eastAsia="微软雅黑"/>
          <w:szCs w:val="21"/>
        </w:rPr>
        <w:t>。</w:t>
      </w:r>
    </w:p>
    <w:p w14:paraId="14E75E76">
      <w:pPr>
        <w:snapToGrid w:val="0"/>
        <w:spacing w:line="440" w:lineRule="exact"/>
        <w:ind w:firstLine="420" w:firstLineChars="200"/>
        <w:rPr>
          <w:rFonts w:hint="eastAsia" w:ascii="微软雅黑" w:hAnsi="微软雅黑" w:eastAsia="微软雅黑"/>
          <w:szCs w:val="21"/>
          <w:lang w:eastAsia="zh-CN"/>
        </w:rPr>
      </w:pPr>
      <w:r>
        <w:rPr>
          <w:rFonts w:hint="eastAsia" w:ascii="微软雅黑" w:hAnsi="微软雅黑" w:eastAsia="微软雅黑"/>
          <w:b/>
          <w:szCs w:val="21"/>
        </w:rPr>
        <w:t>1．采购内容：</w:t>
      </w:r>
      <w:r>
        <w:rPr>
          <w:rFonts w:hint="eastAsia" w:ascii="微软雅黑" w:hAnsi="微软雅黑" w:eastAsia="微软雅黑"/>
          <w:szCs w:val="21"/>
          <w:lang w:eastAsia="zh-CN"/>
        </w:rPr>
        <w:t>院本部和国家质检基地消防设施维保项目</w:t>
      </w:r>
    </w:p>
    <w:p w14:paraId="44161D45">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2．项目概况</w:t>
      </w:r>
      <w:r>
        <w:rPr>
          <w:rFonts w:hint="eastAsia" w:ascii="微软雅黑" w:hAnsi="微软雅黑" w:eastAsia="微软雅黑"/>
          <w:szCs w:val="21"/>
        </w:rPr>
        <w:t>：</w:t>
      </w:r>
    </w:p>
    <w:tbl>
      <w:tblPr>
        <w:tblStyle w:val="40"/>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003"/>
        <w:gridCol w:w="2204"/>
        <w:gridCol w:w="988"/>
        <w:gridCol w:w="1335"/>
      </w:tblGrid>
      <w:tr w14:paraId="7064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79B8B437">
            <w:pPr>
              <w:widowControl w:val="0"/>
              <w:snapToGrid w:val="0"/>
              <w:jc w:val="center"/>
              <w:rPr>
                <w:rFonts w:ascii="微软雅黑" w:hAnsi="微软雅黑" w:eastAsia="微软雅黑"/>
                <w:b/>
                <w:szCs w:val="21"/>
              </w:rPr>
            </w:pPr>
            <w:r>
              <w:rPr>
                <w:rFonts w:hint="eastAsia" w:ascii="微软雅黑" w:hAnsi="微软雅黑" w:eastAsia="微软雅黑"/>
                <w:b/>
                <w:szCs w:val="21"/>
              </w:rPr>
              <w:t>序号</w:t>
            </w:r>
          </w:p>
        </w:tc>
        <w:tc>
          <w:tcPr>
            <w:tcW w:w="4003" w:type="dxa"/>
            <w:vAlign w:val="center"/>
          </w:tcPr>
          <w:p w14:paraId="035365C6">
            <w:pPr>
              <w:widowControl w:val="0"/>
              <w:snapToGrid w:val="0"/>
              <w:jc w:val="center"/>
              <w:rPr>
                <w:rFonts w:ascii="微软雅黑" w:hAnsi="微软雅黑" w:eastAsia="微软雅黑"/>
                <w:b/>
                <w:szCs w:val="21"/>
              </w:rPr>
            </w:pPr>
            <w:r>
              <w:rPr>
                <w:rFonts w:hint="eastAsia" w:ascii="微软雅黑" w:hAnsi="微软雅黑" w:eastAsia="微软雅黑"/>
                <w:b/>
                <w:szCs w:val="21"/>
              </w:rPr>
              <w:t>内容</w:t>
            </w:r>
          </w:p>
        </w:tc>
        <w:tc>
          <w:tcPr>
            <w:tcW w:w="2204" w:type="dxa"/>
            <w:vAlign w:val="center"/>
          </w:tcPr>
          <w:p w14:paraId="321CC851">
            <w:pPr>
              <w:widowControl w:val="0"/>
              <w:snapToGrid w:val="0"/>
              <w:jc w:val="center"/>
              <w:rPr>
                <w:rFonts w:ascii="微软雅黑" w:hAnsi="微软雅黑" w:eastAsia="微软雅黑"/>
                <w:b/>
                <w:szCs w:val="21"/>
              </w:rPr>
            </w:pPr>
            <w:r>
              <w:rPr>
                <w:rFonts w:hint="eastAsia" w:ascii="微软雅黑" w:hAnsi="微软雅黑" w:eastAsia="微软雅黑"/>
                <w:b/>
                <w:szCs w:val="21"/>
              </w:rPr>
              <w:t>采购预算及最高限价</w:t>
            </w:r>
          </w:p>
        </w:tc>
        <w:tc>
          <w:tcPr>
            <w:tcW w:w="988" w:type="dxa"/>
            <w:vAlign w:val="center"/>
          </w:tcPr>
          <w:p w14:paraId="2F0E9A5A">
            <w:pPr>
              <w:widowControl w:val="0"/>
              <w:snapToGrid w:val="0"/>
              <w:jc w:val="center"/>
              <w:rPr>
                <w:rFonts w:ascii="微软雅黑" w:hAnsi="微软雅黑" w:eastAsia="微软雅黑"/>
                <w:b/>
                <w:szCs w:val="21"/>
              </w:rPr>
            </w:pPr>
            <w:r>
              <w:rPr>
                <w:rFonts w:hint="eastAsia" w:ascii="微软雅黑" w:hAnsi="微软雅黑" w:eastAsia="微软雅黑"/>
                <w:b/>
                <w:szCs w:val="21"/>
              </w:rPr>
              <w:t>中选人数量</w:t>
            </w:r>
          </w:p>
        </w:tc>
        <w:tc>
          <w:tcPr>
            <w:tcW w:w="1335" w:type="dxa"/>
            <w:vAlign w:val="center"/>
          </w:tcPr>
          <w:p w14:paraId="6F155A18">
            <w:pPr>
              <w:widowControl w:val="0"/>
              <w:snapToGrid w:val="0"/>
              <w:jc w:val="center"/>
              <w:rPr>
                <w:rFonts w:ascii="微软雅黑" w:hAnsi="微软雅黑" w:eastAsia="微软雅黑"/>
                <w:b/>
                <w:szCs w:val="21"/>
              </w:rPr>
            </w:pPr>
            <w:r>
              <w:rPr>
                <w:rFonts w:hint="eastAsia" w:ascii="微软雅黑" w:hAnsi="微软雅黑" w:eastAsia="微软雅黑"/>
                <w:b/>
                <w:szCs w:val="21"/>
              </w:rPr>
              <w:t>备注</w:t>
            </w:r>
          </w:p>
        </w:tc>
      </w:tr>
      <w:tr w14:paraId="3938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0" w:type="dxa"/>
            <w:vAlign w:val="center"/>
          </w:tcPr>
          <w:p w14:paraId="5BEDF5E9">
            <w:pPr>
              <w:widowControl w:val="0"/>
              <w:snapToGrid w:val="0"/>
              <w:jc w:val="center"/>
              <w:rPr>
                <w:rFonts w:ascii="微软雅黑" w:hAnsi="微软雅黑" w:eastAsia="微软雅黑"/>
                <w:szCs w:val="21"/>
              </w:rPr>
            </w:pPr>
            <w:r>
              <w:rPr>
                <w:rFonts w:hint="eastAsia" w:ascii="微软雅黑" w:hAnsi="微软雅黑" w:eastAsia="微软雅黑"/>
                <w:szCs w:val="21"/>
              </w:rPr>
              <w:t>1</w:t>
            </w:r>
          </w:p>
        </w:tc>
        <w:tc>
          <w:tcPr>
            <w:tcW w:w="4003" w:type="dxa"/>
            <w:vAlign w:val="center"/>
          </w:tcPr>
          <w:p w14:paraId="7CC68E47">
            <w:pPr>
              <w:widowControl w:val="0"/>
              <w:snapToGrid w:val="0"/>
              <w:jc w:val="center"/>
              <w:rPr>
                <w:rFonts w:hint="eastAsia" w:ascii="微软雅黑" w:hAnsi="微软雅黑" w:eastAsia="微软雅黑"/>
                <w:szCs w:val="21"/>
                <w:lang w:eastAsia="zh-CN"/>
              </w:rPr>
            </w:pPr>
            <w:r>
              <w:rPr>
                <w:rFonts w:hint="eastAsia" w:ascii="微软雅黑" w:hAnsi="微软雅黑" w:eastAsia="微软雅黑"/>
                <w:szCs w:val="21"/>
                <w:lang w:eastAsia="zh-CN"/>
              </w:rPr>
              <w:t>院本部和国家质检基地消防设施维保项目</w:t>
            </w:r>
          </w:p>
        </w:tc>
        <w:tc>
          <w:tcPr>
            <w:tcW w:w="2204" w:type="dxa"/>
            <w:vAlign w:val="center"/>
          </w:tcPr>
          <w:p w14:paraId="29A14739">
            <w:pPr>
              <w:widowControl w:val="0"/>
              <w:snapToGrid w:val="0"/>
              <w:jc w:val="center"/>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lang w:val="en-US" w:eastAsia="zh-CN"/>
              </w:rPr>
              <w:t>7</w:t>
            </w:r>
            <w:r>
              <w:rPr>
                <w:rFonts w:hint="eastAsia" w:ascii="微软雅黑" w:hAnsi="微软雅黑" w:eastAsia="微软雅黑"/>
                <w:szCs w:val="21"/>
              </w:rPr>
              <w:t>万元</w:t>
            </w:r>
          </w:p>
        </w:tc>
        <w:tc>
          <w:tcPr>
            <w:tcW w:w="988" w:type="dxa"/>
            <w:vAlign w:val="center"/>
          </w:tcPr>
          <w:p w14:paraId="6F1C0A9B">
            <w:pPr>
              <w:widowControl w:val="0"/>
              <w:snapToGrid w:val="0"/>
              <w:jc w:val="center"/>
              <w:rPr>
                <w:rFonts w:ascii="微软雅黑" w:hAnsi="微软雅黑" w:eastAsia="微软雅黑"/>
                <w:szCs w:val="21"/>
              </w:rPr>
            </w:pPr>
            <w:r>
              <w:rPr>
                <w:rFonts w:hint="eastAsia" w:ascii="微软雅黑" w:hAnsi="微软雅黑" w:eastAsia="微软雅黑"/>
                <w:szCs w:val="21"/>
              </w:rPr>
              <w:t>1</w:t>
            </w:r>
          </w:p>
        </w:tc>
        <w:tc>
          <w:tcPr>
            <w:tcW w:w="1335" w:type="dxa"/>
            <w:vAlign w:val="center"/>
          </w:tcPr>
          <w:p w14:paraId="52364C12">
            <w:pPr>
              <w:widowControl w:val="0"/>
              <w:snapToGrid w:val="0"/>
              <w:jc w:val="center"/>
              <w:rPr>
                <w:rFonts w:ascii="微软雅黑" w:hAnsi="微软雅黑" w:eastAsia="微软雅黑"/>
                <w:szCs w:val="21"/>
              </w:rPr>
            </w:pPr>
            <w:r>
              <w:rPr>
                <w:rFonts w:hint="eastAsia" w:ascii="微软雅黑" w:hAnsi="微软雅黑" w:eastAsia="微软雅黑"/>
                <w:szCs w:val="21"/>
              </w:rPr>
              <w:t>/</w:t>
            </w:r>
          </w:p>
        </w:tc>
      </w:tr>
    </w:tbl>
    <w:p w14:paraId="25E71620">
      <w:pPr>
        <w:snapToGrid w:val="0"/>
        <w:spacing w:line="440" w:lineRule="exact"/>
        <w:ind w:firstLine="420" w:firstLineChars="200"/>
        <w:rPr>
          <w:rFonts w:ascii="微软雅黑" w:hAnsi="微软雅黑" w:eastAsia="微软雅黑"/>
          <w:b/>
          <w:szCs w:val="21"/>
        </w:rPr>
      </w:pPr>
      <w:r>
        <w:rPr>
          <w:rFonts w:hint="eastAsia" w:ascii="微软雅黑" w:hAnsi="微软雅黑" w:eastAsia="微软雅黑"/>
          <w:b/>
          <w:szCs w:val="21"/>
        </w:rPr>
        <w:t>3．</w:t>
      </w:r>
      <w:r>
        <w:rPr>
          <w:rFonts w:ascii="微软雅黑" w:hAnsi="微软雅黑" w:eastAsia="微软雅黑"/>
          <w:b/>
          <w:szCs w:val="21"/>
        </w:rPr>
        <w:t>资金来源</w:t>
      </w:r>
    </w:p>
    <w:p w14:paraId="2C22F1EF">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自筹</w:t>
      </w:r>
      <w:r>
        <w:rPr>
          <w:rFonts w:hint="eastAsia" w:ascii="微软雅黑" w:hAnsi="微软雅黑" w:eastAsia="微软雅黑"/>
          <w:szCs w:val="21"/>
        </w:rPr>
        <w:t>资金，已落实。</w:t>
      </w:r>
    </w:p>
    <w:p w14:paraId="6F0DEC53">
      <w:pPr>
        <w:snapToGrid w:val="0"/>
        <w:spacing w:line="440" w:lineRule="exact"/>
        <w:ind w:firstLine="420" w:firstLineChars="200"/>
        <w:rPr>
          <w:rFonts w:ascii="微软雅黑" w:hAnsi="微软雅黑" w:eastAsia="微软雅黑"/>
          <w:szCs w:val="21"/>
        </w:rPr>
      </w:pPr>
      <w:r>
        <w:rPr>
          <w:rFonts w:ascii="微软雅黑" w:hAnsi="微软雅黑" w:eastAsia="微软雅黑"/>
          <w:b/>
          <w:szCs w:val="21"/>
        </w:rPr>
        <w:t>4</w:t>
      </w:r>
      <w:r>
        <w:rPr>
          <w:rFonts w:hint="eastAsia" w:ascii="微软雅黑" w:hAnsi="微软雅黑" w:eastAsia="微软雅黑"/>
          <w:b/>
          <w:szCs w:val="21"/>
        </w:rPr>
        <w:t>．供应商资格要求</w:t>
      </w:r>
      <w:r>
        <w:rPr>
          <w:rFonts w:hint="eastAsia" w:ascii="微软雅黑" w:hAnsi="微软雅黑" w:eastAsia="微软雅黑"/>
          <w:szCs w:val="21"/>
        </w:rPr>
        <w:t>：</w:t>
      </w:r>
    </w:p>
    <w:p w14:paraId="31BC1E3F">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(1)满足《中华人民共和国政府采购法》第二十二条要求，包括：</w:t>
      </w:r>
    </w:p>
    <w:p w14:paraId="653037D5">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具有独立承担民事责任的能力；</w:t>
      </w:r>
    </w:p>
    <w:p w14:paraId="277B4920">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具有良好的商业信誉和健全的财务会计制度；</w:t>
      </w:r>
    </w:p>
    <w:p w14:paraId="27595F0C">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具有履行合同所必须的设备和专业技术能力；</w:t>
      </w:r>
    </w:p>
    <w:p w14:paraId="21A69B67">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有依法缴纳税收和社会保障资金的良好记录；</w:t>
      </w:r>
    </w:p>
    <w:p w14:paraId="4E6659C6">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参加此采购活动前三年内，在经营活动中没有重大违法记录；</w:t>
      </w:r>
    </w:p>
    <w:p w14:paraId="2AE008A7">
      <w:pPr>
        <w:snapToGrid w:val="0"/>
        <w:spacing w:line="440" w:lineRule="exact"/>
        <w:ind w:firstLine="840" w:firstLineChars="400"/>
        <w:rPr>
          <w:rFonts w:ascii="微软雅黑" w:hAnsi="微软雅黑" w:eastAsia="微软雅黑"/>
          <w:szCs w:val="21"/>
        </w:rPr>
      </w:pPr>
      <w:r>
        <w:rPr>
          <w:rFonts w:hint="eastAsia" w:ascii="微软雅黑" w:hAnsi="微软雅黑" w:eastAsia="微软雅黑"/>
          <w:szCs w:val="21"/>
        </w:rPr>
        <w:t>符合法律、法规规定的其他条件。</w:t>
      </w:r>
    </w:p>
    <w:p w14:paraId="51552F6A">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（2）无其他特定资格条件；</w:t>
      </w:r>
    </w:p>
    <w:p w14:paraId="18CC54A7">
      <w:pPr>
        <w:snapToGrid w:val="0"/>
        <w:spacing w:line="440" w:lineRule="exact"/>
        <w:ind w:firstLine="420" w:firstLineChars="200"/>
        <w:rPr>
          <w:rFonts w:ascii="微软雅黑" w:hAnsi="微软雅黑" w:eastAsia="微软雅黑"/>
          <w:szCs w:val="21"/>
        </w:rPr>
      </w:pPr>
      <w:r>
        <w:rPr>
          <w:rFonts w:ascii="微软雅黑" w:hAnsi="微软雅黑" w:eastAsia="微软雅黑"/>
          <w:b/>
          <w:szCs w:val="21"/>
        </w:rPr>
        <w:t>5</w:t>
      </w:r>
      <w:r>
        <w:rPr>
          <w:rFonts w:hint="eastAsia" w:ascii="微软雅黑" w:hAnsi="微软雅黑" w:eastAsia="微软雅黑"/>
          <w:b/>
          <w:szCs w:val="21"/>
        </w:rPr>
        <w:t>．比选文件的获取</w:t>
      </w:r>
      <w:r>
        <w:rPr>
          <w:rFonts w:hint="eastAsia" w:ascii="微软雅黑" w:hAnsi="微软雅黑" w:eastAsia="微软雅黑"/>
          <w:szCs w:val="21"/>
        </w:rPr>
        <w:t>：</w:t>
      </w:r>
    </w:p>
    <w:p w14:paraId="6584405D">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凡有意参加比选的供应商，请于公告发布之日（202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微软雅黑" w:hAnsi="微软雅黑" w:eastAsia="微软雅黑"/>
          <w:szCs w:val="21"/>
          <w:lang w:val="en-US" w:eastAsia="zh-CN"/>
        </w:rPr>
        <w:t>9</w:t>
      </w:r>
      <w:r>
        <w:rPr>
          <w:rFonts w:hint="eastAsia" w:ascii="微软雅黑" w:hAnsi="微软雅黑" w:eastAsia="微软雅黑"/>
          <w:szCs w:val="21"/>
        </w:rPr>
        <w:t>月</w:t>
      </w:r>
      <w:r>
        <w:rPr>
          <w:rFonts w:hint="eastAsia" w:ascii="微软雅黑" w:hAnsi="微软雅黑" w:eastAsia="微软雅黑"/>
          <w:szCs w:val="21"/>
          <w:highlight w:val="yellow"/>
          <w:lang w:val="en-US" w:eastAsia="zh-CN"/>
        </w:rPr>
        <w:t>2</w:t>
      </w:r>
      <w:r>
        <w:rPr>
          <w:rFonts w:hint="eastAsia" w:ascii="微软雅黑" w:hAnsi="微软雅黑" w:eastAsia="微软雅黑"/>
          <w:szCs w:val="21"/>
        </w:rPr>
        <w:t>日）起至比选响应文件递交截止时间之前，到重庆市</w:t>
      </w:r>
      <w:r>
        <w:rPr>
          <w:rFonts w:hint="eastAsia" w:ascii="微软雅黑" w:hAnsi="微软雅黑" w:eastAsia="微软雅黑"/>
          <w:szCs w:val="21"/>
          <w:lang w:val="en-US" w:eastAsia="zh-CN"/>
        </w:rPr>
        <w:t>计量质量检测研究院</w:t>
      </w:r>
      <w:r>
        <w:rPr>
          <w:rFonts w:hint="eastAsia" w:ascii="微软雅黑" w:hAnsi="微软雅黑" w:eastAsia="微软雅黑"/>
          <w:szCs w:val="21"/>
        </w:rPr>
        <w:t>门户网站（https://www.cqjz.com.cn/）下载比选文件。无论潜在供应商领取与否，均视为已知晓所有比选实质性要求内容。</w:t>
      </w:r>
    </w:p>
    <w:p w14:paraId="0F956A69">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6．响应文件的递交</w:t>
      </w:r>
      <w:r>
        <w:rPr>
          <w:rFonts w:hint="eastAsia" w:ascii="微软雅黑" w:hAnsi="微软雅黑" w:eastAsia="微软雅黑"/>
          <w:szCs w:val="21"/>
        </w:rPr>
        <w:t>：比选响应文件须密封后于202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微软雅黑" w:hAnsi="微软雅黑" w:eastAsia="微软雅黑"/>
          <w:szCs w:val="21"/>
          <w:lang w:val="en-US" w:eastAsia="zh-CN"/>
        </w:rPr>
        <w:t>9</w:t>
      </w:r>
      <w:r>
        <w:rPr>
          <w:rFonts w:hint="eastAsia" w:ascii="微软雅黑" w:hAnsi="微软雅黑" w:eastAsia="微软雅黑"/>
          <w:szCs w:val="21"/>
        </w:rPr>
        <w:t>月</w:t>
      </w:r>
      <w:r>
        <w:rPr>
          <w:rFonts w:hint="eastAsia" w:ascii="微软雅黑" w:hAnsi="微软雅黑" w:eastAsia="微软雅黑"/>
          <w:szCs w:val="21"/>
          <w:highlight w:val="yellow"/>
          <w:lang w:val="en-US" w:eastAsia="zh-CN"/>
        </w:rPr>
        <w:t>5</w:t>
      </w:r>
      <w:r>
        <w:rPr>
          <w:rFonts w:hint="eastAsia" w:ascii="微软雅黑" w:hAnsi="微软雅黑" w:eastAsia="微软雅黑"/>
          <w:szCs w:val="21"/>
        </w:rPr>
        <w:t>日</w:t>
      </w:r>
      <w:r>
        <w:rPr>
          <w:rFonts w:ascii="微软雅黑" w:hAnsi="微软雅黑" w:eastAsia="微软雅黑"/>
          <w:szCs w:val="21"/>
        </w:rPr>
        <w:t>1</w:t>
      </w:r>
      <w:r>
        <w:rPr>
          <w:rFonts w:hint="eastAsia" w:ascii="微软雅黑" w:hAnsi="微软雅黑" w:eastAsia="微软雅黑"/>
          <w:szCs w:val="21"/>
          <w:lang w:val="en-US" w:eastAsia="zh-CN"/>
        </w:rPr>
        <w:t>8</w:t>
      </w:r>
      <w:r>
        <w:rPr>
          <w:rFonts w:hint="eastAsia" w:ascii="微软雅黑" w:hAnsi="微软雅黑" w:eastAsia="微软雅黑"/>
          <w:szCs w:val="21"/>
        </w:rPr>
        <w:t>时前，递至</w:t>
      </w:r>
      <w:r>
        <w:rPr>
          <w:rFonts w:hint="eastAsia" w:ascii="微软雅黑" w:hAnsi="微软雅黑" w:eastAsia="微软雅黑"/>
          <w:szCs w:val="21"/>
          <w:lang w:eastAsia="zh-CN"/>
        </w:rPr>
        <w:t>重庆市计量质量检测研究院</w:t>
      </w:r>
      <w:r>
        <w:rPr>
          <w:rFonts w:hint="eastAsia" w:ascii="微软雅黑" w:hAnsi="微软雅黑" w:eastAsia="微软雅黑"/>
          <w:szCs w:val="21"/>
        </w:rPr>
        <w:t>（重庆市渝北区</w:t>
      </w:r>
      <w:r>
        <w:rPr>
          <w:rFonts w:hint="eastAsia" w:ascii="微软雅黑" w:hAnsi="微软雅黑" w:eastAsia="微软雅黑"/>
          <w:szCs w:val="21"/>
          <w:lang w:val="en-US" w:eastAsia="zh-CN"/>
        </w:rPr>
        <w:t>杨柳北路1</w:t>
      </w:r>
      <w:r>
        <w:rPr>
          <w:rFonts w:hint="eastAsia" w:ascii="微软雅黑" w:hAnsi="微软雅黑" w:eastAsia="微软雅黑"/>
          <w:szCs w:val="21"/>
        </w:rPr>
        <w:t>号</w:t>
      </w:r>
      <w:r>
        <w:rPr>
          <w:rFonts w:hint="eastAsia" w:ascii="微软雅黑" w:hAnsi="微软雅黑" w:eastAsia="微软雅黑"/>
          <w:szCs w:val="21"/>
          <w:lang w:val="en-US" w:eastAsia="zh-CN"/>
        </w:rPr>
        <w:t>10</w:t>
      </w:r>
      <w:r>
        <w:rPr>
          <w:rFonts w:hint="eastAsia" w:ascii="微软雅黑" w:hAnsi="微软雅黑" w:eastAsia="微软雅黑"/>
          <w:szCs w:val="21"/>
        </w:rPr>
        <w:t>02室），逾期送达或密封不符合规定的比选响应文件恕不接受。</w:t>
      </w:r>
    </w:p>
    <w:p w14:paraId="0C72B491">
      <w:pPr>
        <w:snapToGrid w:val="0"/>
        <w:spacing w:line="440" w:lineRule="exact"/>
        <w:ind w:firstLine="420" w:firstLineChars="200"/>
        <w:rPr>
          <w:rFonts w:ascii="微软雅黑" w:hAnsi="微软雅黑" w:eastAsia="微软雅黑"/>
          <w:b/>
          <w:szCs w:val="21"/>
        </w:rPr>
      </w:pPr>
      <w:r>
        <w:rPr>
          <w:rFonts w:hint="eastAsia" w:ascii="微软雅黑" w:hAnsi="微软雅黑" w:eastAsia="微软雅黑"/>
          <w:b/>
          <w:szCs w:val="21"/>
        </w:rPr>
        <w:t>7. 比选的有关规定</w:t>
      </w:r>
    </w:p>
    <w:p w14:paraId="1C3D07BB">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7.1单位负责人为同一人或者存在直接控股、管理关系的不同供应商，不得参加同一合同项的采购活动。</w:t>
      </w:r>
    </w:p>
    <w:p w14:paraId="14987EAA">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w:t>
      </w:r>
      <w:r>
        <w:rPr>
          <w:rFonts w:hint="eastAsia" w:ascii="微软雅黑" w:hAnsi="微软雅黑" w:eastAsia="微软雅黑"/>
          <w:szCs w:val="21"/>
          <w:lang w:val="en-US" w:eastAsia="zh-CN"/>
        </w:rPr>
        <w:t>2</w:t>
      </w:r>
      <w:r>
        <w:rPr>
          <w:rFonts w:hint="eastAsia" w:ascii="微软雅黑" w:hAnsi="微软雅黑" w:eastAsia="微软雅黑"/>
          <w:szCs w:val="21"/>
        </w:rPr>
        <w:t>响应费用：无论评选结果如何，供应商参与本项目比选的所有费用均应由供应商自行承担。</w:t>
      </w:r>
    </w:p>
    <w:p w14:paraId="3C072DBD">
      <w:pPr>
        <w:snapToGrid w:val="0"/>
        <w:spacing w:line="440" w:lineRule="exact"/>
        <w:ind w:firstLine="420" w:firstLineChars="200"/>
        <w:rPr>
          <w:rFonts w:ascii="微软雅黑" w:hAnsi="微软雅黑" w:eastAsia="微软雅黑"/>
          <w:b/>
          <w:bCs/>
          <w:szCs w:val="21"/>
        </w:rPr>
      </w:pPr>
      <w:r>
        <w:rPr>
          <w:rFonts w:hint="eastAsia" w:ascii="微软雅黑" w:hAnsi="微软雅黑" w:eastAsia="微软雅黑"/>
          <w:b/>
          <w:bCs/>
          <w:szCs w:val="21"/>
        </w:rPr>
        <w:t>8.本项目不接受联合体参与响应。</w:t>
      </w:r>
    </w:p>
    <w:p w14:paraId="6E9A5676">
      <w:pPr>
        <w:snapToGrid w:val="0"/>
        <w:spacing w:line="440" w:lineRule="exact"/>
        <w:ind w:firstLine="420" w:firstLineChars="200"/>
        <w:rPr>
          <w:rFonts w:ascii="微软雅黑" w:hAnsi="微软雅黑" w:eastAsia="微软雅黑"/>
          <w:b/>
          <w:bCs/>
          <w:szCs w:val="21"/>
        </w:rPr>
      </w:pPr>
      <w:r>
        <w:rPr>
          <w:rFonts w:ascii="微软雅黑" w:hAnsi="微软雅黑" w:eastAsia="微软雅黑"/>
          <w:b/>
          <w:bCs/>
          <w:szCs w:val="21"/>
        </w:rPr>
        <w:t>9</w:t>
      </w:r>
      <w:r>
        <w:rPr>
          <w:rFonts w:hint="eastAsia" w:ascii="微软雅黑" w:hAnsi="微软雅黑" w:eastAsia="微软雅黑"/>
          <w:b/>
          <w:bCs/>
          <w:szCs w:val="21"/>
        </w:rPr>
        <w:t>.本项目不接受合同分包。</w:t>
      </w:r>
    </w:p>
    <w:p w14:paraId="59B7BEEE">
      <w:pPr>
        <w:snapToGrid w:val="0"/>
        <w:spacing w:line="440" w:lineRule="exact"/>
        <w:ind w:firstLine="420" w:firstLineChars="200"/>
        <w:rPr>
          <w:rFonts w:ascii="微软雅黑" w:hAnsi="微软雅黑" w:eastAsia="微软雅黑"/>
          <w:szCs w:val="21"/>
        </w:rPr>
      </w:pPr>
      <w:bookmarkStart w:id="2" w:name="OLE_LINK2"/>
      <w:bookmarkStart w:id="3" w:name="OLE_LINK1"/>
      <w:r>
        <w:rPr>
          <w:rFonts w:hint="eastAsia" w:ascii="微软雅黑" w:hAnsi="微软雅黑" w:eastAsia="微软雅黑"/>
          <w:b/>
          <w:bCs/>
          <w:szCs w:val="21"/>
        </w:rPr>
        <w:t>10.</w:t>
      </w:r>
      <w:r>
        <w:rPr>
          <w:rFonts w:hint="eastAsia" w:ascii="微软雅黑" w:hAnsi="微软雅黑" w:eastAsia="微软雅黑" w:cs="宋体"/>
          <w:b/>
          <w:bCs/>
          <w:kern w:val="0"/>
          <w:szCs w:val="21"/>
        </w:rPr>
        <w:t>参照</w:t>
      </w:r>
      <w:r>
        <w:rPr>
          <w:rFonts w:ascii="微软雅黑" w:hAnsi="微软雅黑" w:eastAsia="微软雅黑"/>
          <w:b/>
          <w:bCs/>
          <w:szCs w:val="21"/>
        </w:rPr>
        <w:t>《财政部关于在政府采购活动中查询及使用信用记录有关问题的通知》财库〔2016〕125号，</w:t>
      </w:r>
      <w:r>
        <w:rPr>
          <w:rFonts w:hint="eastAsia" w:ascii="微软雅黑" w:hAnsi="微软雅黑" w:eastAsia="微软雅黑"/>
          <w:b/>
          <w:bCs/>
          <w:szCs w:val="21"/>
        </w:rPr>
        <w:t>供应商</w:t>
      </w:r>
      <w:r>
        <w:rPr>
          <w:rFonts w:ascii="微软雅黑" w:hAnsi="微软雅黑" w:eastAsia="微软雅黑"/>
          <w:b/>
          <w:bCs/>
          <w:szCs w:val="21"/>
        </w:rPr>
        <w:t>列入失信被执行人、重大税收违法案件当事人名单、政府采购严重违法失信行为记录名单及其他不符合《中华人民共和国政府采购法》第二十二条规定条件的</w:t>
      </w:r>
      <w:bookmarkEnd w:id="2"/>
      <w:bookmarkEnd w:id="3"/>
      <w:r>
        <w:rPr>
          <w:rFonts w:hint="eastAsia" w:ascii="微软雅黑" w:hAnsi="微软雅黑" w:eastAsia="微软雅黑"/>
          <w:b/>
          <w:bCs/>
          <w:szCs w:val="21"/>
        </w:rPr>
        <w:t>供应商</w:t>
      </w:r>
      <w:r>
        <w:rPr>
          <w:rFonts w:ascii="微软雅黑" w:hAnsi="微软雅黑" w:eastAsia="微软雅黑"/>
          <w:b/>
          <w:bCs/>
          <w:szCs w:val="21"/>
        </w:rPr>
        <w:t>，将拒绝其参与</w:t>
      </w:r>
      <w:r>
        <w:rPr>
          <w:rFonts w:hint="eastAsia" w:ascii="微软雅黑" w:hAnsi="微软雅黑" w:eastAsia="微软雅黑"/>
          <w:b/>
          <w:bCs/>
          <w:szCs w:val="21"/>
        </w:rPr>
        <w:t>本项目</w:t>
      </w:r>
      <w:r>
        <w:rPr>
          <w:rFonts w:ascii="微软雅黑" w:hAnsi="微软雅黑" w:eastAsia="微软雅黑"/>
          <w:b/>
          <w:bCs/>
          <w:szCs w:val="21"/>
        </w:rPr>
        <w:t>采购活动。</w:t>
      </w:r>
    </w:p>
    <w:p w14:paraId="767C3B6B">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11.评分方法：</w:t>
      </w:r>
      <w:r>
        <w:rPr>
          <w:rFonts w:hint="eastAsia" w:ascii="微软雅黑" w:hAnsi="微软雅黑" w:eastAsia="微软雅黑"/>
          <w:szCs w:val="21"/>
        </w:rPr>
        <w:t>最低评标价法</w:t>
      </w:r>
    </w:p>
    <w:p w14:paraId="28CAA0E4">
      <w:pPr>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b/>
          <w:szCs w:val="21"/>
        </w:rPr>
        <w:t>12.采购人：</w:t>
      </w:r>
      <w:r>
        <w:rPr>
          <w:rFonts w:hint="eastAsia" w:ascii="微软雅黑" w:hAnsi="微软雅黑" w:eastAsia="微软雅黑"/>
          <w:b/>
          <w:szCs w:val="21"/>
          <w:lang w:eastAsia="zh-CN"/>
        </w:rPr>
        <w:t>重庆市计量质量检测研究院</w:t>
      </w:r>
    </w:p>
    <w:p w14:paraId="66FCC98D">
      <w:pPr>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联系人：</w:t>
      </w:r>
      <w:r>
        <w:rPr>
          <w:rFonts w:hint="eastAsia" w:ascii="微软雅黑" w:hAnsi="微软雅黑" w:eastAsia="微软雅黑"/>
          <w:szCs w:val="21"/>
          <w:lang w:val="en-US" w:eastAsia="zh-CN"/>
        </w:rPr>
        <w:t>张老师</w:t>
      </w:r>
    </w:p>
    <w:p w14:paraId="103C6856">
      <w:pPr>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 xml:space="preserve">电  话： </w:t>
      </w:r>
      <w:r>
        <w:rPr>
          <w:rFonts w:ascii="微软雅黑" w:hAnsi="微软雅黑" w:eastAsia="微软雅黑"/>
          <w:szCs w:val="21"/>
        </w:rPr>
        <w:t>023-</w:t>
      </w:r>
      <w:r>
        <w:rPr>
          <w:rFonts w:hint="eastAsia" w:ascii="微软雅黑" w:hAnsi="微软雅黑" w:eastAsia="微软雅黑"/>
          <w:szCs w:val="21"/>
          <w:lang w:val="en-US" w:eastAsia="zh-CN"/>
        </w:rPr>
        <w:t>89232162</w:t>
      </w:r>
    </w:p>
    <w:p w14:paraId="41F937F2">
      <w:pPr>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地  址：重庆市渝北区</w:t>
      </w:r>
      <w:r>
        <w:rPr>
          <w:rFonts w:hint="eastAsia" w:ascii="微软雅黑" w:hAnsi="微软雅黑" w:eastAsia="微软雅黑"/>
          <w:szCs w:val="21"/>
          <w:lang w:val="en-US" w:eastAsia="zh-CN"/>
        </w:rPr>
        <w:t>杨柳北路1</w:t>
      </w:r>
      <w:r>
        <w:rPr>
          <w:rFonts w:hint="eastAsia" w:ascii="微软雅黑" w:hAnsi="微软雅黑" w:eastAsia="微软雅黑"/>
          <w:szCs w:val="21"/>
        </w:rPr>
        <w:t>号</w:t>
      </w:r>
      <w:r>
        <w:rPr>
          <w:rFonts w:hint="eastAsia" w:ascii="微软雅黑" w:hAnsi="微软雅黑" w:eastAsia="微软雅黑"/>
          <w:szCs w:val="21"/>
          <w:lang w:val="en-US" w:eastAsia="zh-CN"/>
        </w:rPr>
        <w:t>10</w:t>
      </w:r>
      <w:r>
        <w:rPr>
          <w:rFonts w:hint="eastAsia" w:ascii="微软雅黑" w:hAnsi="微软雅黑" w:eastAsia="微软雅黑"/>
          <w:szCs w:val="21"/>
        </w:rPr>
        <w:t>02室</w:t>
      </w:r>
    </w:p>
    <w:p w14:paraId="23460710">
      <w:pPr>
        <w:tabs>
          <w:tab w:val="left" w:pos="0"/>
          <w:tab w:val="left" w:pos="180"/>
          <w:tab w:val="left" w:pos="540"/>
        </w:tabs>
        <w:adjustRightInd w:val="0"/>
        <w:snapToGrid w:val="0"/>
        <w:spacing w:line="360" w:lineRule="auto"/>
        <w:ind w:left="420"/>
        <w:rPr>
          <w:rFonts w:asciiTheme="minorEastAsia" w:hAnsiTheme="minorEastAsia" w:eastAsiaTheme="minorEastAsia"/>
          <w:sz w:val="24"/>
          <w:szCs w:val="21"/>
        </w:rPr>
      </w:pPr>
    </w:p>
    <w:p w14:paraId="3352D7CB">
      <w:pPr>
        <w:rPr>
          <w:rFonts w:ascii="微软雅黑" w:hAnsi="微软雅黑" w:eastAsia="微软雅黑"/>
          <w:szCs w:val="21"/>
        </w:rPr>
      </w:pPr>
      <w:r>
        <w:rPr>
          <w:rFonts w:ascii="微软雅黑" w:hAnsi="微软雅黑" w:eastAsia="微软雅黑"/>
          <w:szCs w:val="21"/>
        </w:rPr>
        <w:br w:type="page"/>
      </w:r>
    </w:p>
    <w:p w14:paraId="6FB1C3DE">
      <w:pPr>
        <w:pStyle w:val="2"/>
        <w:rPr>
          <w:rFonts w:ascii="微软雅黑" w:hAnsi="微软雅黑" w:eastAsia="微软雅黑"/>
          <w:bCs w:val="0"/>
          <w:kern w:val="2"/>
          <w:szCs w:val="36"/>
        </w:rPr>
      </w:pPr>
      <w:bookmarkStart w:id="4" w:name="_Toc27859"/>
      <w:r>
        <w:rPr>
          <w:rFonts w:hint="eastAsia" w:ascii="微软雅黑" w:hAnsi="微软雅黑" w:eastAsia="微软雅黑"/>
          <w:bCs w:val="0"/>
          <w:kern w:val="2"/>
          <w:szCs w:val="36"/>
        </w:rPr>
        <w:t>第二章 比选供应商须知</w:t>
      </w:r>
      <w:bookmarkEnd w:id="4"/>
    </w:p>
    <w:tbl>
      <w:tblPr>
        <w:tblStyle w:val="39"/>
        <w:tblW w:w="88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093"/>
      </w:tblGrid>
      <w:tr w14:paraId="0BA5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right"/>
        </w:trPr>
        <w:tc>
          <w:tcPr>
            <w:tcW w:w="714" w:type="dxa"/>
            <w:tcMar>
              <w:top w:w="57" w:type="dxa"/>
              <w:bottom w:w="57" w:type="dxa"/>
            </w:tcMar>
            <w:vAlign w:val="center"/>
          </w:tcPr>
          <w:p w14:paraId="4B0C3EA6">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序号</w:t>
            </w:r>
          </w:p>
        </w:tc>
        <w:tc>
          <w:tcPr>
            <w:tcW w:w="8093" w:type="dxa"/>
            <w:tcMar>
              <w:top w:w="57" w:type="dxa"/>
              <w:bottom w:w="57" w:type="dxa"/>
            </w:tcMar>
            <w:vAlign w:val="center"/>
          </w:tcPr>
          <w:p w14:paraId="0F66CEF3">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具 体 信 息 或 数 据</w:t>
            </w:r>
          </w:p>
        </w:tc>
      </w:tr>
      <w:tr w14:paraId="57C9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right"/>
        </w:trPr>
        <w:tc>
          <w:tcPr>
            <w:tcW w:w="714" w:type="dxa"/>
            <w:tcMar>
              <w:top w:w="57" w:type="dxa"/>
              <w:bottom w:w="57" w:type="dxa"/>
            </w:tcMar>
            <w:vAlign w:val="center"/>
          </w:tcPr>
          <w:p w14:paraId="40C8DA67">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w:t>
            </w:r>
          </w:p>
        </w:tc>
        <w:tc>
          <w:tcPr>
            <w:tcW w:w="8093" w:type="dxa"/>
            <w:tcMar>
              <w:top w:w="57" w:type="dxa"/>
              <w:bottom w:w="57" w:type="dxa"/>
            </w:tcMar>
            <w:vAlign w:val="center"/>
          </w:tcPr>
          <w:p w14:paraId="30A8D4C2">
            <w:pPr>
              <w:pStyle w:val="22"/>
              <w:adjustRightInd w:val="0"/>
              <w:snapToGrid w:val="0"/>
              <w:rPr>
                <w:rFonts w:hint="default" w:ascii="微软雅黑" w:hAnsi="微软雅黑" w:eastAsia="微软雅黑"/>
                <w:szCs w:val="21"/>
                <w:lang w:val="en-US" w:eastAsia="zh-CN"/>
              </w:rPr>
            </w:pPr>
            <w:r>
              <w:rPr>
                <w:rFonts w:hint="eastAsia" w:ascii="微软雅黑" w:hAnsi="微软雅黑" w:eastAsia="微软雅黑"/>
                <w:sz w:val="21"/>
                <w:szCs w:val="21"/>
              </w:rPr>
              <w:t>项目名称：</w:t>
            </w:r>
            <w:r>
              <w:rPr>
                <w:rFonts w:hint="eastAsia" w:ascii="微软雅黑" w:hAnsi="微软雅黑" w:eastAsia="微软雅黑"/>
                <w:sz w:val="21"/>
                <w:szCs w:val="21"/>
                <w:lang w:eastAsia="zh-CN"/>
              </w:rPr>
              <w:t>院本部和国家质检基地消防设施维保项目</w:t>
            </w:r>
          </w:p>
        </w:tc>
      </w:tr>
      <w:tr w14:paraId="5EDD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right"/>
        </w:trPr>
        <w:tc>
          <w:tcPr>
            <w:tcW w:w="714" w:type="dxa"/>
            <w:tcMar>
              <w:top w:w="57" w:type="dxa"/>
              <w:bottom w:w="57" w:type="dxa"/>
            </w:tcMar>
            <w:vAlign w:val="center"/>
          </w:tcPr>
          <w:p w14:paraId="7DB40972">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2</w:t>
            </w:r>
          </w:p>
        </w:tc>
        <w:tc>
          <w:tcPr>
            <w:tcW w:w="8093" w:type="dxa"/>
            <w:tcMar>
              <w:top w:w="57" w:type="dxa"/>
              <w:bottom w:w="57" w:type="dxa"/>
            </w:tcMar>
            <w:vAlign w:val="center"/>
          </w:tcPr>
          <w:p w14:paraId="4AD761F7">
            <w:pPr>
              <w:pStyle w:val="22"/>
              <w:adjustRightInd w:val="0"/>
              <w:snapToGrid w:val="0"/>
              <w:rPr>
                <w:rFonts w:hint="eastAsia" w:ascii="微软雅黑" w:hAnsi="微软雅黑" w:eastAsia="微软雅黑"/>
                <w:sz w:val="21"/>
                <w:szCs w:val="21"/>
                <w:lang w:eastAsia="zh-CN"/>
              </w:rPr>
            </w:pPr>
            <w:r>
              <w:rPr>
                <w:rFonts w:hint="eastAsia" w:ascii="微软雅黑" w:hAnsi="微软雅黑" w:eastAsia="微软雅黑"/>
                <w:sz w:val="21"/>
                <w:szCs w:val="21"/>
              </w:rPr>
              <w:t>采购人：</w:t>
            </w:r>
            <w:r>
              <w:rPr>
                <w:rFonts w:hint="eastAsia" w:ascii="微软雅黑" w:hAnsi="微软雅黑" w:eastAsia="微软雅黑"/>
                <w:sz w:val="21"/>
                <w:szCs w:val="21"/>
                <w:lang w:eastAsia="zh-CN"/>
              </w:rPr>
              <w:t>重庆市计量质量检测研究院</w:t>
            </w:r>
          </w:p>
          <w:p w14:paraId="713438AE">
            <w:pPr>
              <w:pStyle w:val="22"/>
              <w:adjustRightInd w:val="0"/>
              <w:snapToGrid w:val="0"/>
              <w:rPr>
                <w:rFonts w:hint="eastAsia" w:ascii="微软雅黑" w:hAnsi="微软雅黑" w:eastAsia="微软雅黑"/>
                <w:sz w:val="21"/>
                <w:szCs w:val="21"/>
                <w:lang w:eastAsia="zh-CN"/>
              </w:rPr>
            </w:pPr>
            <w:r>
              <w:rPr>
                <w:rFonts w:hint="eastAsia" w:ascii="微软雅黑" w:hAnsi="微软雅黑" w:eastAsia="微软雅黑"/>
                <w:sz w:val="21"/>
                <w:szCs w:val="21"/>
              </w:rPr>
              <w:t>采购人地址：</w:t>
            </w:r>
            <w:r>
              <w:rPr>
                <w:rFonts w:hint="eastAsia" w:ascii="微软雅黑" w:hAnsi="微软雅黑" w:eastAsia="微软雅黑"/>
                <w:sz w:val="21"/>
                <w:szCs w:val="21"/>
                <w:lang w:eastAsia="zh-CN"/>
              </w:rPr>
              <w:t>重庆市渝北区杨柳北路1号</w:t>
            </w:r>
          </w:p>
        </w:tc>
      </w:tr>
      <w:tr w14:paraId="03CD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714" w:type="dxa"/>
            <w:tcMar>
              <w:top w:w="57" w:type="dxa"/>
              <w:bottom w:w="57" w:type="dxa"/>
            </w:tcMar>
            <w:vAlign w:val="center"/>
          </w:tcPr>
          <w:p w14:paraId="5DAD7AF5">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3</w:t>
            </w:r>
          </w:p>
        </w:tc>
        <w:tc>
          <w:tcPr>
            <w:tcW w:w="8093" w:type="dxa"/>
            <w:tcMar>
              <w:top w:w="57" w:type="dxa"/>
              <w:bottom w:w="57" w:type="dxa"/>
            </w:tcMar>
            <w:vAlign w:val="center"/>
          </w:tcPr>
          <w:p w14:paraId="6A3E1D46">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lang w:val="en-US" w:eastAsia="zh-CN"/>
              </w:rPr>
              <w:t>维保时间</w:t>
            </w:r>
            <w:r>
              <w:rPr>
                <w:rFonts w:hint="eastAsia" w:ascii="微软雅黑" w:hAnsi="微软雅黑" w:eastAsia="微软雅黑"/>
                <w:sz w:val="21"/>
                <w:szCs w:val="21"/>
              </w:rPr>
              <w:t>：合同签订之日</w:t>
            </w:r>
            <w:r>
              <w:rPr>
                <w:rFonts w:hint="eastAsia" w:ascii="微软雅黑" w:hAnsi="微软雅黑" w:eastAsia="微软雅黑"/>
                <w:sz w:val="21"/>
                <w:szCs w:val="21"/>
                <w:lang w:val="en-US" w:eastAsia="zh-CN"/>
              </w:rPr>
              <w:t>起1年</w:t>
            </w:r>
            <w:r>
              <w:rPr>
                <w:rFonts w:hint="eastAsia" w:ascii="微软雅黑" w:hAnsi="微软雅黑" w:eastAsia="微软雅黑"/>
                <w:szCs w:val="21"/>
              </w:rPr>
              <w:t>。</w:t>
            </w:r>
          </w:p>
        </w:tc>
      </w:tr>
      <w:tr w14:paraId="78FA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right"/>
        </w:trPr>
        <w:tc>
          <w:tcPr>
            <w:tcW w:w="714" w:type="dxa"/>
            <w:tcMar>
              <w:top w:w="57" w:type="dxa"/>
              <w:bottom w:w="57" w:type="dxa"/>
            </w:tcMar>
            <w:vAlign w:val="center"/>
          </w:tcPr>
          <w:p w14:paraId="240AE6FA">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4</w:t>
            </w:r>
          </w:p>
        </w:tc>
        <w:tc>
          <w:tcPr>
            <w:tcW w:w="8093" w:type="dxa"/>
            <w:tcMar>
              <w:top w:w="57" w:type="dxa"/>
              <w:bottom w:w="57" w:type="dxa"/>
            </w:tcMar>
            <w:vAlign w:val="center"/>
          </w:tcPr>
          <w:p w14:paraId="6BCC4DEC">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合格比选供应商必须同时满足下述资格条件：</w:t>
            </w:r>
          </w:p>
          <w:p w14:paraId="7028AE26">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（1）满足《中华人民共和国政府采购法》第二十二条要求，包括：</w:t>
            </w:r>
          </w:p>
          <w:p w14:paraId="78EFAEEE">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具有独立承担民事责任的能力；</w:t>
            </w:r>
          </w:p>
          <w:p w14:paraId="35043F60">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具有履行合同所必须的设备和专业技术能力；</w:t>
            </w:r>
          </w:p>
          <w:p w14:paraId="4386742D">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有依法缴纳税收和社会保障资金的良好记录；</w:t>
            </w:r>
          </w:p>
          <w:p w14:paraId="20C97F68">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参加此采购活动前三年内，在经营活动中没有重大违法记录；</w:t>
            </w:r>
          </w:p>
          <w:p w14:paraId="6F4C8B5B">
            <w:pPr>
              <w:pStyle w:val="22"/>
              <w:adjustRightInd w:val="0"/>
              <w:snapToGrid w:val="0"/>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符合法律、法规规定的其他条件。</w:t>
            </w:r>
          </w:p>
          <w:p w14:paraId="590BD2C6">
            <w:pPr>
              <w:pStyle w:val="22"/>
              <w:adjustRightInd w:val="0"/>
              <w:snapToGrid w:val="0"/>
              <w:rPr>
                <w:rFonts w:hint="eastAsia" w:ascii="微软雅黑" w:hAnsi="微软雅黑" w:eastAsia="微软雅黑"/>
                <w:sz w:val="21"/>
                <w:szCs w:val="21"/>
              </w:rPr>
            </w:pPr>
            <w:r>
              <w:rPr>
                <w:rFonts w:hint="default" w:ascii="微软雅黑" w:hAnsi="微软雅黑" w:eastAsia="微软雅黑" w:cs="Times New Roman"/>
                <w:kern w:val="2"/>
                <w:sz w:val="21"/>
                <w:szCs w:val="21"/>
                <w:lang w:val="en-US" w:eastAsia="zh-CN" w:bidi="ar-SA"/>
              </w:rPr>
              <w:t>（2）</w:t>
            </w:r>
            <w:r>
              <w:rPr>
                <w:rFonts w:hint="eastAsia" w:ascii="微软雅黑" w:hAnsi="微软雅黑" w:eastAsia="微软雅黑" w:cs="Times New Roman"/>
                <w:kern w:val="2"/>
                <w:sz w:val="21"/>
                <w:szCs w:val="21"/>
                <w:lang w:val="en-US" w:eastAsia="zh-CN" w:bidi="ar-SA"/>
              </w:rPr>
              <w:t>具备</w:t>
            </w:r>
            <w:r>
              <w:rPr>
                <w:rFonts w:hint="eastAsia" w:ascii="微软雅黑" w:hAnsi="微软雅黑" w:eastAsia="微软雅黑"/>
                <w:sz w:val="21"/>
                <w:szCs w:val="21"/>
                <w:lang w:val="en-US" w:eastAsia="zh-CN"/>
              </w:rPr>
              <w:t>消防维保技术服务备案资格、消防设施维修及改造施工资质。</w:t>
            </w:r>
          </w:p>
          <w:p w14:paraId="68D7D765">
            <w:pPr>
              <w:pStyle w:val="22"/>
              <w:numPr>
                <w:ilvl w:val="0"/>
                <w:numId w:val="0"/>
              </w:numPr>
              <w:adjustRightInd w:val="0"/>
              <w:snapToGrid w:val="0"/>
              <w:rPr>
                <w:rFonts w:hint="default" w:ascii="微软雅黑" w:hAnsi="微软雅黑" w:eastAsia="微软雅黑"/>
                <w:sz w:val="21"/>
                <w:szCs w:val="21"/>
                <w:lang w:val="en-US" w:eastAsia="zh-CN"/>
              </w:rPr>
            </w:pPr>
            <w:r>
              <w:rPr>
                <w:rFonts w:hint="default" w:ascii="微软雅黑" w:hAnsi="微软雅黑" w:eastAsia="微软雅黑" w:cs="Times New Roman"/>
                <w:kern w:val="2"/>
                <w:sz w:val="21"/>
                <w:szCs w:val="21"/>
                <w:lang w:val="en-US" w:eastAsia="zh-CN" w:bidi="ar-SA"/>
              </w:rPr>
              <w:t>（</w:t>
            </w:r>
            <w:r>
              <w:rPr>
                <w:rFonts w:hint="eastAsia" w:ascii="微软雅黑" w:hAnsi="微软雅黑" w:eastAsia="微软雅黑" w:cs="Times New Roman"/>
                <w:kern w:val="2"/>
                <w:sz w:val="21"/>
                <w:szCs w:val="21"/>
                <w:lang w:val="en-US" w:eastAsia="zh-CN" w:bidi="ar-SA"/>
              </w:rPr>
              <w:t>3</w:t>
            </w:r>
            <w:r>
              <w:rPr>
                <w:rFonts w:hint="default" w:ascii="微软雅黑" w:hAnsi="微软雅黑" w:eastAsia="微软雅黑" w:cs="Times New Roman"/>
                <w:kern w:val="2"/>
                <w:sz w:val="21"/>
                <w:szCs w:val="21"/>
                <w:lang w:val="en-US" w:eastAsia="zh-CN" w:bidi="ar-SA"/>
              </w:rPr>
              <w:t>）</w:t>
            </w:r>
            <w:r>
              <w:rPr>
                <w:rFonts w:hint="eastAsia" w:ascii="微软雅黑" w:hAnsi="微软雅黑" w:eastAsia="微软雅黑"/>
                <w:sz w:val="21"/>
                <w:szCs w:val="21"/>
                <w:lang w:val="en-US" w:eastAsia="zh-CN"/>
              </w:rPr>
              <w:t>具备注册消防工程师资格、消防安全管理员资格、消防设施操作员资格。</w:t>
            </w:r>
          </w:p>
        </w:tc>
      </w:tr>
      <w:tr w14:paraId="31B8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714" w:type="dxa"/>
            <w:tcMar>
              <w:top w:w="57" w:type="dxa"/>
              <w:bottom w:w="57" w:type="dxa"/>
            </w:tcMar>
            <w:vAlign w:val="center"/>
          </w:tcPr>
          <w:p w14:paraId="5E4C7944">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5</w:t>
            </w:r>
          </w:p>
        </w:tc>
        <w:tc>
          <w:tcPr>
            <w:tcW w:w="8093" w:type="dxa"/>
            <w:tcMar>
              <w:top w:w="57" w:type="dxa"/>
              <w:bottom w:w="57" w:type="dxa"/>
            </w:tcMar>
            <w:vAlign w:val="center"/>
          </w:tcPr>
          <w:p w14:paraId="502571B0">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现场考察：由供应商自行考察并</w:t>
            </w:r>
            <w:r>
              <w:rPr>
                <w:rFonts w:ascii="微软雅黑" w:hAnsi="微软雅黑" w:eastAsia="微软雅黑"/>
                <w:sz w:val="21"/>
                <w:szCs w:val="21"/>
              </w:rPr>
              <w:t>自行负责在踏勘现场中所发生的人员伤亡和财产损失</w:t>
            </w:r>
            <w:r>
              <w:rPr>
                <w:rFonts w:hint="eastAsia" w:ascii="微软雅黑" w:hAnsi="微软雅黑" w:eastAsia="微软雅黑"/>
                <w:sz w:val="21"/>
                <w:szCs w:val="21"/>
              </w:rPr>
              <w:t>。</w:t>
            </w:r>
          </w:p>
        </w:tc>
      </w:tr>
      <w:tr w14:paraId="3186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714" w:type="dxa"/>
            <w:tcMar>
              <w:top w:w="57" w:type="dxa"/>
              <w:bottom w:w="57" w:type="dxa"/>
            </w:tcMar>
            <w:vAlign w:val="center"/>
          </w:tcPr>
          <w:p w14:paraId="22DB0D0D">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6</w:t>
            </w:r>
          </w:p>
        </w:tc>
        <w:tc>
          <w:tcPr>
            <w:tcW w:w="8093" w:type="dxa"/>
            <w:tcMar>
              <w:top w:w="57" w:type="dxa"/>
              <w:bottom w:w="57" w:type="dxa"/>
            </w:tcMar>
            <w:vAlign w:val="center"/>
          </w:tcPr>
          <w:p w14:paraId="39B5009D">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比选有效期：自比选响应文件递交截止之日起算</w:t>
            </w:r>
            <w:r>
              <w:rPr>
                <w:rFonts w:hint="eastAsia" w:ascii="微软雅黑" w:hAnsi="微软雅黑" w:eastAsia="微软雅黑"/>
                <w:sz w:val="21"/>
                <w:szCs w:val="21"/>
                <w:lang w:val="en-US" w:eastAsia="zh-CN"/>
              </w:rPr>
              <w:t>90</w:t>
            </w:r>
            <w:r>
              <w:rPr>
                <w:rFonts w:hint="eastAsia" w:ascii="微软雅黑" w:hAnsi="微软雅黑" w:eastAsia="微软雅黑"/>
                <w:sz w:val="21"/>
                <w:szCs w:val="21"/>
              </w:rPr>
              <w:t>日历日。</w:t>
            </w:r>
          </w:p>
        </w:tc>
      </w:tr>
      <w:tr w14:paraId="0A2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right"/>
        </w:trPr>
        <w:tc>
          <w:tcPr>
            <w:tcW w:w="714" w:type="dxa"/>
            <w:tcMar>
              <w:top w:w="57" w:type="dxa"/>
              <w:bottom w:w="57" w:type="dxa"/>
            </w:tcMar>
            <w:vAlign w:val="center"/>
          </w:tcPr>
          <w:p w14:paraId="3C27CEA9">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7</w:t>
            </w:r>
          </w:p>
        </w:tc>
        <w:tc>
          <w:tcPr>
            <w:tcW w:w="8093" w:type="dxa"/>
            <w:tcMar>
              <w:top w:w="57" w:type="dxa"/>
              <w:bottom w:w="57" w:type="dxa"/>
            </w:tcMar>
            <w:vAlign w:val="center"/>
          </w:tcPr>
          <w:p w14:paraId="7F67C482">
            <w:pPr>
              <w:autoSpaceDE w:val="0"/>
              <w:autoSpaceDN w:val="0"/>
              <w:adjustRightInd w:val="0"/>
              <w:snapToGrid w:val="0"/>
              <w:spacing w:after="120"/>
              <w:rPr>
                <w:rFonts w:hint="eastAsia" w:ascii="微软雅黑" w:hAnsi="微软雅黑" w:eastAsia="微软雅黑"/>
                <w:szCs w:val="21"/>
                <w:lang w:eastAsia="zh-CN"/>
              </w:rPr>
            </w:pPr>
            <w:r>
              <w:rPr>
                <w:rFonts w:hint="eastAsia" w:ascii="微软雅黑" w:hAnsi="微软雅黑" w:eastAsia="微软雅黑"/>
                <w:szCs w:val="21"/>
              </w:rPr>
              <w:t>比选保证金：本项目不涉及</w:t>
            </w:r>
            <w:r>
              <w:rPr>
                <w:rFonts w:hint="eastAsia" w:ascii="微软雅黑" w:hAnsi="微软雅黑" w:eastAsia="微软雅黑"/>
                <w:szCs w:val="21"/>
                <w:lang w:eastAsia="zh-CN"/>
              </w:rPr>
              <w:t>。</w:t>
            </w:r>
          </w:p>
        </w:tc>
      </w:tr>
      <w:tr w14:paraId="071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right"/>
        </w:trPr>
        <w:tc>
          <w:tcPr>
            <w:tcW w:w="714" w:type="dxa"/>
            <w:tcMar>
              <w:top w:w="57" w:type="dxa"/>
              <w:bottom w:w="57" w:type="dxa"/>
            </w:tcMar>
            <w:vAlign w:val="center"/>
          </w:tcPr>
          <w:p w14:paraId="49FB7849">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8</w:t>
            </w:r>
          </w:p>
        </w:tc>
        <w:tc>
          <w:tcPr>
            <w:tcW w:w="8093" w:type="dxa"/>
            <w:tcMar>
              <w:top w:w="57" w:type="dxa"/>
              <w:bottom w:w="57" w:type="dxa"/>
            </w:tcMar>
            <w:vAlign w:val="center"/>
          </w:tcPr>
          <w:p w14:paraId="3C5390AC">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比选响应文件的份数：正本1份，副本</w:t>
            </w:r>
            <w:r>
              <w:rPr>
                <w:rFonts w:hint="eastAsia" w:ascii="微软雅黑" w:hAnsi="微软雅黑" w:eastAsia="微软雅黑"/>
                <w:sz w:val="21"/>
                <w:szCs w:val="21"/>
                <w:lang w:val="en-US" w:eastAsia="zh-CN"/>
              </w:rPr>
              <w:t>1</w:t>
            </w:r>
            <w:r>
              <w:rPr>
                <w:rFonts w:hint="eastAsia" w:ascii="微软雅黑" w:hAnsi="微软雅黑" w:eastAsia="微软雅黑"/>
                <w:sz w:val="21"/>
                <w:szCs w:val="21"/>
              </w:rPr>
              <w:t>份。</w:t>
            </w:r>
          </w:p>
        </w:tc>
      </w:tr>
      <w:tr w14:paraId="3F4F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right"/>
        </w:trPr>
        <w:tc>
          <w:tcPr>
            <w:tcW w:w="714" w:type="dxa"/>
            <w:tcMar>
              <w:top w:w="57" w:type="dxa"/>
              <w:bottom w:w="57" w:type="dxa"/>
            </w:tcMar>
            <w:vAlign w:val="center"/>
          </w:tcPr>
          <w:p w14:paraId="17C549AE">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9</w:t>
            </w:r>
          </w:p>
        </w:tc>
        <w:tc>
          <w:tcPr>
            <w:tcW w:w="8093" w:type="dxa"/>
            <w:tcMar>
              <w:top w:w="57" w:type="dxa"/>
              <w:bottom w:w="57" w:type="dxa"/>
            </w:tcMar>
            <w:vAlign w:val="center"/>
          </w:tcPr>
          <w:p w14:paraId="6E53C86C">
            <w:pPr>
              <w:pStyle w:val="22"/>
              <w:adjustRightInd w:val="0"/>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比选响应文件递交截止时间：2025年9月</w:t>
            </w:r>
            <w:r>
              <w:rPr>
                <w:rFonts w:hint="eastAsia" w:ascii="微软雅黑" w:hAnsi="微软雅黑" w:eastAsia="微软雅黑"/>
                <w:sz w:val="21"/>
                <w:szCs w:val="21"/>
                <w:highlight w:val="yellow"/>
                <w:lang w:val="en-US" w:eastAsia="zh-CN"/>
              </w:rPr>
              <w:t>5</w:t>
            </w:r>
            <w:r>
              <w:rPr>
                <w:rFonts w:hint="eastAsia" w:ascii="微软雅黑" w:hAnsi="微软雅黑" w:eastAsia="微软雅黑"/>
                <w:sz w:val="21"/>
                <w:szCs w:val="21"/>
                <w:lang w:val="en-US" w:eastAsia="zh-CN"/>
              </w:rPr>
              <w:t>日18时（北京时间）</w:t>
            </w:r>
          </w:p>
          <w:p w14:paraId="0402A413">
            <w:pPr>
              <w:pStyle w:val="22"/>
              <w:adjustRightInd w:val="0"/>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比选响应文件递交地点：重庆市渝北区杨柳北路1号1002室</w:t>
            </w:r>
          </w:p>
          <w:p w14:paraId="664502BE">
            <w:pPr>
              <w:pStyle w:val="22"/>
              <w:adjustRightInd w:val="0"/>
              <w:snapToGrid w:val="0"/>
              <w:rPr>
                <w:rFonts w:hint="default" w:eastAsia="微软雅黑"/>
                <w:lang w:val="en-US" w:eastAsia="zh-CN"/>
              </w:rPr>
            </w:pPr>
            <w:r>
              <w:rPr>
                <w:rFonts w:hint="eastAsia" w:ascii="微软雅黑" w:hAnsi="微软雅黑" w:eastAsia="微软雅黑"/>
                <w:sz w:val="21"/>
                <w:szCs w:val="21"/>
                <w:lang w:val="en-US" w:eastAsia="zh-CN"/>
              </w:rPr>
              <w:t>比选时间及地点：2025年9月</w:t>
            </w:r>
            <w:r>
              <w:rPr>
                <w:rFonts w:hint="eastAsia" w:ascii="微软雅黑" w:hAnsi="微软雅黑" w:eastAsia="微软雅黑"/>
                <w:sz w:val="21"/>
                <w:szCs w:val="21"/>
                <w:highlight w:val="yellow"/>
                <w:lang w:val="en-US" w:eastAsia="zh-CN"/>
              </w:rPr>
              <w:t>8</w:t>
            </w:r>
            <w:r>
              <w:rPr>
                <w:rFonts w:hint="eastAsia" w:ascii="微软雅黑" w:hAnsi="微软雅黑" w:eastAsia="微软雅黑"/>
                <w:sz w:val="21"/>
                <w:szCs w:val="21"/>
                <w:lang w:val="en-US" w:eastAsia="zh-CN"/>
              </w:rPr>
              <w:t>日15时（北京时间）304会议室</w:t>
            </w:r>
          </w:p>
        </w:tc>
      </w:tr>
      <w:tr w14:paraId="411F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right"/>
        </w:trPr>
        <w:tc>
          <w:tcPr>
            <w:tcW w:w="714" w:type="dxa"/>
            <w:tcMar>
              <w:top w:w="57" w:type="dxa"/>
              <w:bottom w:w="57" w:type="dxa"/>
            </w:tcMar>
            <w:vAlign w:val="center"/>
          </w:tcPr>
          <w:p w14:paraId="0F209B60">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10</w:t>
            </w:r>
          </w:p>
        </w:tc>
        <w:tc>
          <w:tcPr>
            <w:tcW w:w="8093" w:type="dxa"/>
            <w:tcMar>
              <w:top w:w="57" w:type="dxa"/>
              <w:bottom w:w="57" w:type="dxa"/>
            </w:tcMar>
            <w:vAlign w:val="center"/>
          </w:tcPr>
          <w:p w14:paraId="0048AA21">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评审办法：最低评标价法</w:t>
            </w:r>
          </w:p>
        </w:tc>
      </w:tr>
      <w:tr w14:paraId="78BA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right"/>
        </w:trPr>
        <w:tc>
          <w:tcPr>
            <w:tcW w:w="714" w:type="dxa"/>
            <w:tcMar>
              <w:top w:w="57" w:type="dxa"/>
              <w:bottom w:w="57" w:type="dxa"/>
            </w:tcMar>
            <w:vAlign w:val="center"/>
          </w:tcPr>
          <w:p w14:paraId="2E13ACC9">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11</w:t>
            </w:r>
          </w:p>
        </w:tc>
        <w:tc>
          <w:tcPr>
            <w:tcW w:w="8093" w:type="dxa"/>
            <w:tcMar>
              <w:top w:w="57" w:type="dxa"/>
              <w:bottom w:w="57" w:type="dxa"/>
            </w:tcMar>
            <w:vAlign w:val="center"/>
          </w:tcPr>
          <w:p w14:paraId="72340B94">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由采购人支</w:t>
            </w:r>
            <w:r>
              <w:rPr>
                <w:rFonts w:ascii="微软雅黑" w:hAnsi="微软雅黑" w:eastAsia="微软雅黑"/>
                <w:sz w:val="21"/>
                <w:szCs w:val="21"/>
              </w:rPr>
              <w:t>付该项目</w:t>
            </w:r>
            <w:r>
              <w:rPr>
                <w:rFonts w:hint="eastAsia" w:ascii="微软雅黑" w:hAnsi="微软雅黑" w:eastAsia="微软雅黑"/>
                <w:sz w:val="21"/>
                <w:szCs w:val="21"/>
              </w:rPr>
              <w:t>合同款项，付款方式如下：</w:t>
            </w:r>
          </w:p>
          <w:p w14:paraId="3418F59D">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采购方在合同年度过半时，向中标方支付本年度维修保养费的50%；合同期限到期，采购方向中标方支付本年度剩余50%的维修保养费。</w:t>
            </w:r>
          </w:p>
        </w:tc>
      </w:tr>
    </w:tbl>
    <w:p w14:paraId="55712444">
      <w:pPr>
        <w:rPr>
          <w:rFonts w:ascii="微软雅黑" w:hAnsi="微软雅黑" w:eastAsia="微软雅黑"/>
          <w:b/>
          <w:bCs/>
          <w:sz w:val="28"/>
          <w:szCs w:val="28"/>
        </w:rPr>
      </w:pPr>
      <w:bookmarkStart w:id="5" w:name="_Toc10213427"/>
      <w:bookmarkStart w:id="6" w:name="_Toc68963461"/>
      <w:r>
        <w:rPr>
          <w:rFonts w:ascii="微软雅黑" w:hAnsi="微软雅黑" w:eastAsia="微软雅黑"/>
          <w:sz w:val="28"/>
          <w:szCs w:val="28"/>
        </w:rPr>
        <w:br w:type="page"/>
      </w:r>
    </w:p>
    <w:p w14:paraId="68566770">
      <w:pPr>
        <w:pStyle w:val="3"/>
        <w:spacing w:line="480" w:lineRule="auto"/>
        <w:rPr>
          <w:rFonts w:ascii="微软雅黑" w:hAnsi="微软雅黑" w:eastAsia="微软雅黑"/>
          <w:sz w:val="28"/>
          <w:szCs w:val="28"/>
        </w:rPr>
      </w:pPr>
      <w:bookmarkStart w:id="7" w:name="_Toc26758"/>
      <w:r>
        <w:rPr>
          <w:rFonts w:hint="eastAsia" w:ascii="微软雅黑" w:hAnsi="微软雅黑" w:eastAsia="微软雅黑"/>
          <w:sz w:val="28"/>
          <w:szCs w:val="28"/>
        </w:rPr>
        <w:t>一、总  则</w:t>
      </w:r>
      <w:bookmarkEnd w:id="5"/>
      <w:bookmarkEnd w:id="6"/>
      <w:bookmarkEnd w:id="7"/>
    </w:p>
    <w:p w14:paraId="14C92A64">
      <w:pPr>
        <w:numPr>
          <w:ilvl w:val="0"/>
          <w:numId w:val="0"/>
        </w:numPr>
        <w:adjustRightInd w:val="0"/>
        <w:snapToGrid w:val="0"/>
        <w:spacing w:line="480" w:lineRule="exact"/>
        <w:ind w:left="425" w:leftChars="0" w:hanging="425" w:firstLineChars="0"/>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1.</w:t>
      </w:r>
      <w:r>
        <w:rPr>
          <w:rFonts w:hint="eastAsia" w:ascii="微软雅黑" w:hAnsi="微软雅黑" w:eastAsia="微软雅黑"/>
          <w:b/>
          <w:bCs/>
          <w:szCs w:val="21"/>
        </w:rPr>
        <w:t>概述</w:t>
      </w:r>
    </w:p>
    <w:p w14:paraId="0DDBCD6E">
      <w:pPr>
        <w:numPr>
          <w:ilvl w:val="1"/>
          <w:numId w:val="0"/>
        </w:numPr>
        <w:adjustRightInd w:val="0"/>
        <w:snapToGrid w:val="0"/>
        <w:spacing w:line="480" w:lineRule="exact"/>
        <w:ind w:left="567" w:leftChars="200" w:hanging="147" w:hangingChars="70"/>
        <w:rPr>
          <w:rFonts w:ascii="微软雅黑" w:hAnsi="微软雅黑" w:eastAsia="微软雅黑"/>
          <w:szCs w:val="21"/>
        </w:rPr>
      </w:pPr>
      <w:r>
        <w:rPr>
          <w:rFonts w:ascii="微软雅黑" w:hAnsi="微软雅黑" w:eastAsia="微软雅黑" w:cs="Times New Roman"/>
          <w:kern w:val="2"/>
          <w:sz w:val="21"/>
          <w:szCs w:val="21"/>
          <w:lang w:val="en-US" w:eastAsia="zh-CN" w:bidi="ar-SA"/>
        </w:rPr>
        <w:t>1.1</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适用范围：本比选文件仅适用于第一章“比选邀请书”中所述项目。</w:t>
      </w:r>
    </w:p>
    <w:p w14:paraId="65BF1227">
      <w:pPr>
        <w:numPr>
          <w:ilvl w:val="1"/>
          <w:numId w:val="0"/>
        </w:numPr>
        <w:adjustRightInd w:val="0"/>
        <w:snapToGrid w:val="0"/>
        <w:spacing w:line="480" w:lineRule="exact"/>
        <w:ind w:left="567" w:leftChars="200" w:hanging="147" w:hangingChars="70"/>
        <w:rPr>
          <w:rFonts w:ascii="微软雅黑" w:hAnsi="微软雅黑" w:eastAsia="微软雅黑"/>
          <w:szCs w:val="21"/>
        </w:rPr>
      </w:pPr>
      <w:r>
        <w:rPr>
          <w:rFonts w:ascii="微软雅黑" w:hAnsi="微软雅黑" w:eastAsia="微软雅黑" w:cs="Times New Roman"/>
          <w:kern w:val="2"/>
          <w:sz w:val="21"/>
          <w:szCs w:val="21"/>
          <w:lang w:val="en-US" w:eastAsia="zh-CN" w:bidi="ar-SA"/>
        </w:rPr>
        <w:t>1.2</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定义：</w:t>
      </w:r>
    </w:p>
    <w:p w14:paraId="6FF084C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本项目：系指“</w:t>
      </w:r>
      <w:r>
        <w:rPr>
          <w:rFonts w:hint="eastAsia" w:ascii="微软雅黑" w:hAnsi="微软雅黑" w:eastAsia="微软雅黑"/>
          <w:szCs w:val="21"/>
          <w:lang w:eastAsia="zh-CN"/>
        </w:rPr>
        <w:t>院本部和国家质检基地消防设施维保项目</w:t>
      </w:r>
      <w:r>
        <w:rPr>
          <w:rFonts w:hint="eastAsia" w:ascii="微软雅黑" w:hAnsi="微软雅黑" w:eastAsia="微软雅黑"/>
          <w:szCs w:val="21"/>
        </w:rPr>
        <w:t>”。</w:t>
      </w:r>
    </w:p>
    <w:p w14:paraId="4889747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采购人：系指</w:t>
      </w:r>
      <w:r>
        <w:rPr>
          <w:rFonts w:hint="eastAsia" w:ascii="微软雅黑" w:hAnsi="微软雅黑" w:eastAsia="微软雅黑"/>
          <w:szCs w:val="21"/>
          <w:lang w:eastAsia="zh-CN"/>
        </w:rPr>
        <w:t>重庆市计量质量检测研究院。</w:t>
      </w:r>
    </w:p>
    <w:p w14:paraId="223E6DA1">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2.</w:t>
      </w:r>
      <w:r>
        <w:rPr>
          <w:rFonts w:hint="eastAsia" w:ascii="微软雅黑" w:hAnsi="微软雅黑" w:eastAsia="微软雅黑"/>
          <w:b/>
          <w:bCs/>
          <w:szCs w:val="21"/>
        </w:rPr>
        <w:t>比选范围</w:t>
      </w:r>
    </w:p>
    <w:p w14:paraId="57496F44">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Cs/>
          <w:szCs w:val="21"/>
        </w:rPr>
        <w:t>2.1</w:t>
      </w:r>
      <w:r>
        <w:rPr>
          <w:rFonts w:hint="eastAsia" w:ascii="微软雅黑" w:hAnsi="微软雅黑" w:eastAsia="微软雅黑"/>
          <w:szCs w:val="21"/>
        </w:rPr>
        <w:t>详见第四章</w:t>
      </w:r>
      <w:r>
        <w:rPr>
          <w:rFonts w:hint="eastAsia" w:ascii="微软雅黑" w:hAnsi="微软雅黑" w:eastAsia="微软雅黑"/>
          <w:szCs w:val="21"/>
          <w:lang w:val="en-US" w:eastAsia="zh-CN"/>
        </w:rPr>
        <w:t>项目</w:t>
      </w:r>
      <w:r>
        <w:rPr>
          <w:rFonts w:hint="eastAsia" w:ascii="微软雅黑" w:hAnsi="微软雅黑" w:eastAsia="微软雅黑"/>
          <w:bCs/>
          <w:kern w:val="44"/>
          <w:szCs w:val="21"/>
        </w:rPr>
        <w:t>需求及说明</w:t>
      </w:r>
    </w:p>
    <w:p w14:paraId="79FCAD11">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8" w:name="_Toc23613344"/>
      <w:r>
        <w:rPr>
          <w:rFonts w:hint="eastAsia" w:ascii="微软雅黑" w:hAnsi="微软雅黑" w:eastAsia="微软雅黑" w:cs="Times New Roman"/>
          <w:b/>
          <w:bCs/>
          <w:kern w:val="2"/>
          <w:sz w:val="21"/>
          <w:szCs w:val="21"/>
          <w:lang w:val="en-US" w:eastAsia="zh-CN" w:bidi="ar-SA"/>
        </w:rPr>
        <w:t>3.</w:t>
      </w:r>
      <w:r>
        <w:rPr>
          <w:rFonts w:hint="eastAsia" w:ascii="微软雅黑" w:hAnsi="微软雅黑" w:eastAsia="微软雅黑"/>
          <w:b/>
          <w:bCs/>
          <w:szCs w:val="21"/>
        </w:rPr>
        <w:t>比选供应商的资格</w:t>
      </w:r>
      <w:bookmarkEnd w:id="8"/>
    </w:p>
    <w:p w14:paraId="6E3B78CA">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3.1参加本次</w:t>
      </w:r>
      <w:r>
        <w:rPr>
          <w:rFonts w:hint="eastAsia" w:ascii="微软雅黑" w:hAnsi="微软雅黑" w:eastAsia="微软雅黑"/>
          <w:szCs w:val="21"/>
          <w:lang w:val="en-US" w:eastAsia="zh-CN"/>
        </w:rPr>
        <w:t>施工</w:t>
      </w:r>
      <w:r>
        <w:rPr>
          <w:rFonts w:hint="eastAsia" w:ascii="微软雅黑" w:hAnsi="微软雅黑" w:eastAsia="微软雅黑"/>
          <w:szCs w:val="21"/>
        </w:rPr>
        <w:t>项目比选的比选供应商必须满足本须知前附表中第</w:t>
      </w:r>
      <w:r>
        <w:rPr>
          <w:rFonts w:hint="eastAsia" w:ascii="微软雅黑" w:hAnsi="微软雅黑" w:eastAsia="微软雅黑"/>
          <w:b/>
          <w:szCs w:val="21"/>
          <w:u w:val="single"/>
        </w:rPr>
        <w:t>4</w:t>
      </w:r>
      <w:r>
        <w:rPr>
          <w:rFonts w:hint="eastAsia" w:ascii="微软雅黑" w:hAnsi="微软雅黑" w:eastAsia="微软雅黑"/>
          <w:szCs w:val="21"/>
        </w:rPr>
        <w:t>项的资格要求。</w:t>
      </w:r>
    </w:p>
    <w:p w14:paraId="2106F74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2</w:t>
      </w:r>
      <w:r>
        <w:rPr>
          <w:rFonts w:hint="eastAsia" w:ascii="微软雅黑" w:hAnsi="微软雅黑" w:eastAsia="微软雅黑"/>
          <w:szCs w:val="21"/>
        </w:rPr>
        <w:t>比选供应商应遵守国家法律法规及采购人相关规定。</w:t>
      </w:r>
    </w:p>
    <w:p w14:paraId="1DF0793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3</w:t>
      </w:r>
      <w:r>
        <w:rPr>
          <w:rFonts w:hint="eastAsia" w:ascii="微软雅黑" w:hAnsi="微软雅黑" w:eastAsia="微软雅黑"/>
          <w:szCs w:val="21"/>
        </w:rPr>
        <w:t>本项目比选不接受联合体形式的比选。</w:t>
      </w:r>
    </w:p>
    <w:p w14:paraId="653151D1">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9" w:name="_Toc23613345"/>
      <w:r>
        <w:rPr>
          <w:rFonts w:hint="eastAsia" w:ascii="微软雅黑" w:hAnsi="微软雅黑" w:eastAsia="微软雅黑" w:cs="Times New Roman"/>
          <w:b/>
          <w:bCs/>
          <w:kern w:val="2"/>
          <w:sz w:val="21"/>
          <w:szCs w:val="21"/>
          <w:lang w:val="en-US" w:eastAsia="zh-CN" w:bidi="ar-SA"/>
        </w:rPr>
        <w:t>4.</w:t>
      </w:r>
      <w:r>
        <w:rPr>
          <w:rFonts w:hint="eastAsia" w:ascii="微软雅黑" w:hAnsi="微软雅黑" w:eastAsia="微软雅黑"/>
          <w:b/>
          <w:bCs/>
          <w:szCs w:val="21"/>
        </w:rPr>
        <w:t>比选费用</w:t>
      </w:r>
      <w:bookmarkEnd w:id="9"/>
    </w:p>
    <w:p w14:paraId="5471D96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4.1 比选供应商在比选过程中发生的一切费用，无论成交与否，均由比选供应商自负。</w:t>
      </w:r>
    </w:p>
    <w:p w14:paraId="2004A97D">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5.</w:t>
      </w:r>
      <w:r>
        <w:rPr>
          <w:rFonts w:hint="eastAsia" w:ascii="微软雅黑" w:hAnsi="微软雅黑" w:eastAsia="微软雅黑"/>
          <w:b/>
          <w:bCs/>
          <w:szCs w:val="21"/>
        </w:rPr>
        <w:t>现场考察</w:t>
      </w:r>
    </w:p>
    <w:p w14:paraId="07F86D6B">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比选供应商应按照</w:t>
      </w:r>
      <w:r>
        <w:rPr>
          <w:rFonts w:hint="eastAsia" w:ascii="微软雅黑" w:hAnsi="微软雅黑" w:eastAsia="微软雅黑"/>
          <w:szCs w:val="21"/>
          <w:lang w:val="en-US" w:eastAsia="zh-CN"/>
        </w:rPr>
        <w:t>可提前联系比选方确定</w:t>
      </w:r>
      <w:r>
        <w:rPr>
          <w:rFonts w:hint="eastAsia" w:ascii="微软雅黑" w:hAnsi="微软雅黑" w:eastAsia="微软雅黑"/>
          <w:szCs w:val="21"/>
        </w:rPr>
        <w:t>时间和地点，了解项目情况，自行负责、获得有关编制比选响应文件和签订</w:t>
      </w:r>
      <w:r>
        <w:rPr>
          <w:rFonts w:hint="eastAsia" w:ascii="微软雅黑" w:hAnsi="微软雅黑" w:eastAsia="微软雅黑"/>
          <w:szCs w:val="21"/>
          <w:lang w:val="en-US" w:eastAsia="zh-CN"/>
        </w:rPr>
        <w:t>施工</w:t>
      </w:r>
      <w:r>
        <w:rPr>
          <w:rFonts w:hint="eastAsia" w:ascii="微软雅黑" w:hAnsi="微软雅黑" w:eastAsia="微软雅黑"/>
          <w:szCs w:val="21"/>
        </w:rPr>
        <w:t>合同所必需的一切资料。</w:t>
      </w:r>
    </w:p>
    <w:p w14:paraId="6B8769B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比选供应商考察现场以后，将被认为已经对项目的总体情况、</w:t>
      </w:r>
      <w:r>
        <w:rPr>
          <w:rFonts w:hint="eastAsia" w:ascii="微软雅黑" w:hAnsi="微软雅黑" w:eastAsia="微软雅黑"/>
          <w:szCs w:val="21"/>
          <w:lang w:val="en-US" w:eastAsia="zh-CN"/>
        </w:rPr>
        <w:t>施工</w:t>
      </w:r>
      <w:r>
        <w:rPr>
          <w:rFonts w:hint="eastAsia" w:ascii="微软雅黑" w:hAnsi="微软雅黑" w:eastAsia="微软雅黑"/>
          <w:szCs w:val="21"/>
        </w:rPr>
        <w:t>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14:paraId="1C46508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考察现场过程中，比选供应商及其代表可能会对其自身或对第三方造成的人身伤害、财产损失或损坏，以及其他任何原因造成的损失、损坏或费用，必须由比选供应商及其代表自行承担。</w:t>
      </w:r>
    </w:p>
    <w:p w14:paraId="5264972C">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5.4 在现场考察过程中，比选供应商只许委派1-2名代表参加，并严格遵守比选方提出的纪律要求。</w:t>
      </w:r>
    </w:p>
    <w:p w14:paraId="626FDD48">
      <w:pPr>
        <w:rPr>
          <w:rFonts w:ascii="微软雅黑" w:hAnsi="微软雅黑" w:eastAsia="微软雅黑"/>
          <w:szCs w:val="21"/>
        </w:rPr>
      </w:pPr>
      <w:r>
        <w:rPr>
          <w:rFonts w:ascii="微软雅黑" w:hAnsi="微软雅黑" w:eastAsia="微软雅黑"/>
          <w:szCs w:val="21"/>
        </w:rPr>
        <w:br w:type="page"/>
      </w:r>
    </w:p>
    <w:p w14:paraId="312C4EC4">
      <w:pPr>
        <w:pStyle w:val="37"/>
        <w:ind w:firstLine="0" w:firstLineChars="0"/>
        <w:rPr>
          <w:rFonts w:ascii="微软雅黑" w:hAnsi="微软雅黑" w:eastAsia="微软雅黑"/>
          <w:szCs w:val="21"/>
        </w:rPr>
      </w:pPr>
    </w:p>
    <w:p w14:paraId="07CC8E76">
      <w:pPr>
        <w:pStyle w:val="3"/>
        <w:spacing w:line="480" w:lineRule="auto"/>
        <w:rPr>
          <w:rFonts w:ascii="微软雅黑" w:hAnsi="微软雅黑" w:eastAsia="微软雅黑"/>
          <w:sz w:val="28"/>
          <w:szCs w:val="28"/>
        </w:rPr>
      </w:pPr>
      <w:bookmarkStart w:id="10" w:name="_Toc10213428"/>
      <w:bookmarkStart w:id="11" w:name="_Toc23613348"/>
      <w:bookmarkStart w:id="12" w:name="_Toc24083811"/>
      <w:bookmarkStart w:id="13" w:name="_Toc33340836"/>
      <w:bookmarkStart w:id="14" w:name="_Toc68963462"/>
      <w:bookmarkStart w:id="15" w:name="_Toc24455231"/>
      <w:bookmarkStart w:id="16" w:name="_Toc31251"/>
      <w:r>
        <w:rPr>
          <w:rFonts w:hint="eastAsia" w:ascii="微软雅黑" w:hAnsi="微软雅黑" w:eastAsia="微软雅黑"/>
          <w:sz w:val="28"/>
          <w:szCs w:val="28"/>
        </w:rPr>
        <w:t>二、比选文件</w:t>
      </w:r>
      <w:bookmarkEnd w:id="10"/>
      <w:bookmarkEnd w:id="11"/>
      <w:bookmarkEnd w:id="12"/>
      <w:bookmarkEnd w:id="13"/>
      <w:bookmarkEnd w:id="14"/>
      <w:bookmarkEnd w:id="15"/>
      <w:bookmarkEnd w:id="16"/>
    </w:p>
    <w:p w14:paraId="27DCCC75">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7" w:name="_Toc23613349"/>
      <w:r>
        <w:rPr>
          <w:rFonts w:hint="eastAsia" w:ascii="微软雅黑" w:hAnsi="微软雅黑" w:eastAsia="微软雅黑" w:cs="Times New Roman"/>
          <w:b/>
          <w:bCs/>
          <w:kern w:val="2"/>
          <w:sz w:val="21"/>
          <w:szCs w:val="21"/>
          <w:lang w:val="en-US" w:eastAsia="zh-CN" w:bidi="ar-SA"/>
        </w:rPr>
        <w:t>6.</w:t>
      </w:r>
      <w:r>
        <w:rPr>
          <w:rFonts w:hint="eastAsia" w:ascii="微软雅黑" w:hAnsi="微软雅黑" w:eastAsia="微软雅黑"/>
          <w:b/>
          <w:bCs/>
          <w:szCs w:val="21"/>
        </w:rPr>
        <w:t>比选文件的内容</w:t>
      </w:r>
      <w:bookmarkEnd w:id="17"/>
    </w:p>
    <w:p w14:paraId="75E2EC8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6.1比选文件除本款下述内容外，还包括所有按照本须知第</w:t>
      </w:r>
      <w:r>
        <w:rPr>
          <w:rFonts w:hint="eastAsia" w:ascii="微软雅黑" w:hAnsi="微软雅黑" w:eastAsia="微软雅黑"/>
          <w:b/>
          <w:szCs w:val="21"/>
          <w:u w:val="single"/>
        </w:rPr>
        <w:t>7.1</w:t>
      </w:r>
      <w:r>
        <w:rPr>
          <w:rFonts w:hint="eastAsia" w:ascii="微软雅黑" w:hAnsi="微软雅黑" w:eastAsia="微软雅黑"/>
          <w:szCs w:val="21"/>
        </w:rPr>
        <w:t>款和第</w:t>
      </w:r>
      <w:r>
        <w:rPr>
          <w:rFonts w:hint="eastAsia" w:ascii="微软雅黑" w:hAnsi="微软雅黑" w:eastAsia="微软雅黑"/>
          <w:szCs w:val="21"/>
          <w:u w:val="single"/>
        </w:rPr>
        <w:t>8</w:t>
      </w:r>
      <w:r>
        <w:rPr>
          <w:rFonts w:hint="eastAsia" w:ascii="微软雅黑" w:hAnsi="微软雅黑" w:eastAsia="微软雅黑"/>
          <w:szCs w:val="21"/>
        </w:rPr>
        <w:t>条发出的澄清/修改补充文件。</w:t>
      </w:r>
    </w:p>
    <w:p w14:paraId="252EF623">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第一章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比选公告</w:t>
      </w:r>
    </w:p>
    <w:p w14:paraId="0FD4028F">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第二章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比选供应商须知</w:t>
      </w:r>
    </w:p>
    <w:p w14:paraId="6B0BEE8F">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第三章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合同条件、格式</w:t>
      </w:r>
    </w:p>
    <w:p w14:paraId="23AC9B6B">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第四章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lang w:val="en-US" w:eastAsia="zh-CN"/>
        </w:rPr>
        <w:t>项目</w:t>
      </w:r>
      <w:r>
        <w:rPr>
          <w:rFonts w:hint="eastAsia" w:ascii="微软雅黑" w:hAnsi="微软雅黑" w:eastAsia="微软雅黑"/>
          <w:szCs w:val="21"/>
        </w:rPr>
        <w:t>需求及说明</w:t>
      </w:r>
    </w:p>
    <w:p w14:paraId="3BA37A88">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第五章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比选响应文件格式</w:t>
      </w:r>
    </w:p>
    <w:p w14:paraId="0ADC3C9B">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第六章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评审办法</w:t>
      </w:r>
    </w:p>
    <w:p w14:paraId="179FF09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6.2比选供应商应仔细阅读比选文件，并按照比选文件的规定格式编制比选响应文件，凡与比选文件的规定有重大不符的比选响应文件，将被视为无效比选，不予进入详细评审。</w:t>
      </w:r>
    </w:p>
    <w:p w14:paraId="1014825B">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8" w:name="_Toc23613350"/>
      <w:r>
        <w:rPr>
          <w:rFonts w:hint="eastAsia" w:ascii="微软雅黑" w:hAnsi="微软雅黑" w:eastAsia="微软雅黑" w:cs="Times New Roman"/>
          <w:b/>
          <w:bCs/>
          <w:kern w:val="2"/>
          <w:sz w:val="21"/>
          <w:szCs w:val="21"/>
          <w:lang w:val="en-US" w:eastAsia="zh-CN" w:bidi="ar-SA"/>
        </w:rPr>
        <w:t>7.</w:t>
      </w:r>
      <w:r>
        <w:rPr>
          <w:rFonts w:hint="eastAsia" w:ascii="微软雅黑" w:hAnsi="微软雅黑" w:eastAsia="微软雅黑"/>
          <w:b/>
          <w:bCs/>
          <w:szCs w:val="21"/>
        </w:rPr>
        <w:t>比选文件的澄清和解答</w:t>
      </w:r>
      <w:bookmarkEnd w:id="18"/>
    </w:p>
    <w:p w14:paraId="78CE5CB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7.1比选供应商可以在本须知前附表中第6项规定的时间之前，对比选文件的有关事宜以书面形式（加盖公章）提请采购人予以澄清，采购人将通过书面形式向所有获得比选文件的比选供应商进行澄清（答复中不注明问题的来源）。</w:t>
      </w:r>
    </w:p>
    <w:p w14:paraId="4C481052">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9" w:name="_Toc23613351"/>
      <w:r>
        <w:rPr>
          <w:rFonts w:hint="eastAsia" w:ascii="微软雅黑" w:hAnsi="微软雅黑" w:eastAsia="微软雅黑" w:cs="Times New Roman"/>
          <w:b/>
          <w:bCs/>
          <w:kern w:val="2"/>
          <w:sz w:val="21"/>
          <w:szCs w:val="21"/>
          <w:lang w:val="en-US" w:eastAsia="zh-CN" w:bidi="ar-SA"/>
        </w:rPr>
        <w:t>8.</w:t>
      </w:r>
      <w:r>
        <w:rPr>
          <w:rFonts w:hint="eastAsia" w:ascii="微软雅黑" w:hAnsi="微软雅黑" w:eastAsia="微软雅黑"/>
          <w:b/>
          <w:bCs/>
          <w:szCs w:val="21"/>
        </w:rPr>
        <w:t>比选文件的修改</w:t>
      </w:r>
      <w:bookmarkEnd w:id="19"/>
    </w:p>
    <w:p w14:paraId="6369B33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8.1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14:paraId="577F29E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8.2采购人发出的补充通知若前后存在不一致，以后发者为准。</w:t>
      </w:r>
    </w:p>
    <w:p w14:paraId="7B8DB15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8.3为便于比选供应商在合理的时间内，按照澄清/补充通知提出的要求编制比选响应文件，采购人可以在适当的时候延长比选截止期，采购人和比选供应商相应的权利与义务亦应随之延长。</w:t>
      </w:r>
    </w:p>
    <w:p w14:paraId="01C269B1">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8.4比选供应商应在收到澄清/修改补充通知后24小时内以书面形式（加盖公章）向采购人确认收悉。</w:t>
      </w:r>
    </w:p>
    <w:p w14:paraId="35F9657B">
      <w:pPr>
        <w:rPr>
          <w:rFonts w:ascii="微软雅黑" w:hAnsi="微软雅黑" w:eastAsia="微软雅黑"/>
          <w:b/>
          <w:bCs/>
          <w:sz w:val="28"/>
          <w:szCs w:val="28"/>
        </w:rPr>
      </w:pPr>
      <w:bookmarkStart w:id="20" w:name="_Toc68963463"/>
      <w:bookmarkStart w:id="21" w:name="_Toc23613352"/>
      <w:bookmarkStart w:id="22" w:name="_Toc10213429"/>
      <w:bookmarkStart w:id="23" w:name="_Toc24455232"/>
      <w:bookmarkStart w:id="24" w:name="_Toc33340837"/>
      <w:bookmarkStart w:id="25" w:name="_Toc24083812"/>
      <w:r>
        <w:rPr>
          <w:rFonts w:ascii="微软雅黑" w:hAnsi="微软雅黑" w:eastAsia="微软雅黑"/>
          <w:sz w:val="28"/>
          <w:szCs w:val="28"/>
        </w:rPr>
        <w:br w:type="page"/>
      </w:r>
    </w:p>
    <w:p w14:paraId="4C232F2C">
      <w:pPr>
        <w:pStyle w:val="3"/>
        <w:spacing w:line="480" w:lineRule="auto"/>
        <w:rPr>
          <w:rFonts w:ascii="微软雅黑" w:hAnsi="微软雅黑" w:eastAsia="微软雅黑"/>
          <w:sz w:val="28"/>
          <w:szCs w:val="28"/>
        </w:rPr>
      </w:pPr>
      <w:bookmarkStart w:id="26" w:name="_Toc6956"/>
      <w:r>
        <w:rPr>
          <w:rFonts w:hint="eastAsia" w:ascii="微软雅黑" w:hAnsi="微软雅黑" w:eastAsia="微软雅黑"/>
          <w:sz w:val="28"/>
          <w:szCs w:val="28"/>
        </w:rPr>
        <w:t>三、比选响应文件的编制</w:t>
      </w:r>
      <w:bookmarkEnd w:id="20"/>
      <w:bookmarkEnd w:id="21"/>
      <w:bookmarkEnd w:id="22"/>
      <w:bookmarkEnd w:id="23"/>
      <w:bookmarkEnd w:id="24"/>
      <w:bookmarkEnd w:id="25"/>
      <w:bookmarkEnd w:id="26"/>
    </w:p>
    <w:p w14:paraId="176D5B06">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9.</w:t>
      </w:r>
      <w:r>
        <w:rPr>
          <w:rFonts w:hint="eastAsia" w:ascii="微软雅黑" w:hAnsi="微软雅黑" w:eastAsia="微软雅黑"/>
          <w:b/>
          <w:bCs/>
          <w:szCs w:val="21"/>
        </w:rPr>
        <w:t>比选响应文件的内容</w:t>
      </w:r>
    </w:p>
    <w:p w14:paraId="5D32554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9.1比选供应商编写的比选响应文件，应至少包括但不限于下列各项内容：</w:t>
      </w:r>
    </w:p>
    <w:p w14:paraId="465380AD">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9.1.1比选函；</w:t>
      </w:r>
    </w:p>
    <w:p w14:paraId="7A4D69F2">
      <w:pPr>
        <w:tabs>
          <w:tab w:val="left" w:pos="644"/>
          <w:tab w:val="left" w:pos="1080"/>
          <w:tab w:val="left" w:pos="126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9.1.2法定代表人授权委托书；</w:t>
      </w:r>
    </w:p>
    <w:p w14:paraId="6986579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9.1.3比选报价表；</w:t>
      </w:r>
    </w:p>
    <w:p w14:paraId="7CB8CF5B">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w:t>
      </w:r>
      <w:r>
        <w:rPr>
          <w:rFonts w:ascii="微软雅黑" w:hAnsi="微软雅黑" w:eastAsia="微软雅黑"/>
          <w:szCs w:val="21"/>
        </w:rPr>
        <w:t>4</w:t>
      </w:r>
      <w:r>
        <w:rPr>
          <w:rFonts w:hint="eastAsia" w:ascii="微软雅黑" w:hAnsi="微软雅黑" w:eastAsia="微软雅黑"/>
          <w:szCs w:val="21"/>
        </w:rPr>
        <w:t>比选报明细价表；</w:t>
      </w:r>
    </w:p>
    <w:p w14:paraId="7759A575">
      <w:pPr>
        <w:tabs>
          <w:tab w:val="left" w:pos="644"/>
          <w:tab w:val="left" w:pos="1080"/>
          <w:tab w:val="left" w:pos="126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w:t>
      </w:r>
      <w:r>
        <w:rPr>
          <w:rFonts w:ascii="微软雅黑" w:hAnsi="微软雅黑" w:eastAsia="微软雅黑"/>
          <w:szCs w:val="21"/>
        </w:rPr>
        <w:t>5</w:t>
      </w:r>
      <w:r>
        <w:rPr>
          <w:rFonts w:hint="eastAsia" w:ascii="微软雅黑" w:hAnsi="微软雅黑" w:eastAsia="微软雅黑"/>
          <w:szCs w:val="21"/>
        </w:rPr>
        <w:t>资质证明文件：</w:t>
      </w:r>
    </w:p>
    <w:p w14:paraId="4E8D81A0">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(1)法人营业执照（副本）</w:t>
      </w:r>
    </w:p>
    <w:p w14:paraId="2B0027A8">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(2)法定</w:t>
      </w:r>
      <w:r>
        <w:rPr>
          <w:rFonts w:ascii="微软雅黑" w:hAnsi="微软雅黑" w:eastAsia="微软雅黑"/>
          <w:szCs w:val="21"/>
        </w:rPr>
        <w:t>代表人</w:t>
      </w:r>
      <w:r>
        <w:rPr>
          <w:rFonts w:hint="eastAsia" w:ascii="微软雅黑" w:hAnsi="微软雅黑" w:eastAsia="微软雅黑"/>
          <w:szCs w:val="21"/>
        </w:rPr>
        <w:t>授权书</w:t>
      </w:r>
    </w:p>
    <w:p w14:paraId="44D63247">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(3)授权代表身份证</w:t>
      </w:r>
    </w:p>
    <w:p w14:paraId="2DA5A8D3">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(4)近三年内在本行业内从事相关工作未受到政府部门给予不良记录和行政处罚的承诺（格式）</w:t>
      </w:r>
    </w:p>
    <w:p w14:paraId="47778D9C">
      <w:pPr>
        <w:pStyle w:val="22"/>
        <w:tabs>
          <w:tab w:val="left" w:pos="5580"/>
        </w:tabs>
        <w:adjustRightInd w:val="0"/>
        <w:snapToGrid w:val="0"/>
        <w:spacing w:line="480" w:lineRule="exact"/>
        <w:ind w:firstLine="420" w:firstLineChars="200"/>
        <w:rPr>
          <w:rFonts w:ascii="微软雅黑" w:hAnsi="微软雅黑" w:eastAsia="微软雅黑"/>
          <w:sz w:val="21"/>
          <w:szCs w:val="21"/>
        </w:rPr>
      </w:pPr>
      <w:r>
        <w:rPr>
          <w:rFonts w:ascii="微软雅黑" w:hAnsi="微软雅黑" w:eastAsia="微软雅黑"/>
          <w:sz w:val="21"/>
          <w:szCs w:val="21"/>
        </w:rPr>
        <w:t>9.1.6</w:t>
      </w:r>
      <w:r>
        <w:rPr>
          <w:rFonts w:hint="eastAsia" w:ascii="微软雅黑" w:hAnsi="微软雅黑" w:eastAsia="微软雅黑"/>
          <w:sz w:val="21"/>
          <w:szCs w:val="21"/>
        </w:rPr>
        <w:t>其他相关证明文件。</w:t>
      </w:r>
    </w:p>
    <w:p w14:paraId="0887B15E">
      <w:pPr>
        <w:pStyle w:val="22"/>
        <w:tabs>
          <w:tab w:val="left" w:pos="5580"/>
        </w:tabs>
        <w:adjustRightInd w:val="0"/>
        <w:snapToGrid w:val="0"/>
        <w:spacing w:line="480" w:lineRule="exact"/>
        <w:ind w:firstLine="420" w:firstLineChars="200"/>
        <w:rPr>
          <w:rFonts w:ascii="微软雅黑" w:hAnsi="微软雅黑" w:eastAsia="微软雅黑"/>
          <w:sz w:val="21"/>
          <w:szCs w:val="21"/>
          <w:highlight w:val="none"/>
        </w:rPr>
      </w:pPr>
      <w:r>
        <w:rPr>
          <w:rFonts w:ascii="微软雅黑" w:hAnsi="微软雅黑" w:eastAsia="微软雅黑"/>
          <w:sz w:val="21"/>
          <w:szCs w:val="21"/>
          <w:highlight w:val="none"/>
        </w:rPr>
        <w:t>9.1.7</w:t>
      </w:r>
      <w:r>
        <w:rPr>
          <w:rFonts w:hint="eastAsia" w:ascii="微软雅黑" w:hAnsi="微软雅黑" w:eastAsia="微软雅黑"/>
          <w:sz w:val="21"/>
          <w:szCs w:val="21"/>
          <w:highlight w:val="none"/>
          <w:lang w:val="en-US" w:eastAsia="zh-CN"/>
        </w:rPr>
        <w:t>维保</w:t>
      </w:r>
      <w:r>
        <w:rPr>
          <w:rFonts w:hint="eastAsia" w:ascii="微软雅黑" w:hAnsi="微软雅黑" w:eastAsia="微软雅黑"/>
          <w:sz w:val="21"/>
          <w:szCs w:val="21"/>
          <w:highlight w:val="none"/>
        </w:rPr>
        <w:t>方案。</w:t>
      </w:r>
    </w:p>
    <w:p w14:paraId="1AED6866">
      <w:pPr>
        <w:adjustRightInd w:val="0"/>
        <w:snapToGrid w:val="0"/>
        <w:spacing w:line="48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lang w:val="en-US" w:eastAsia="zh-CN"/>
        </w:rPr>
        <w:t>维保</w:t>
      </w:r>
      <w:r>
        <w:rPr>
          <w:rFonts w:hint="eastAsia" w:ascii="微软雅黑" w:hAnsi="微软雅黑" w:eastAsia="微软雅黑"/>
          <w:szCs w:val="21"/>
          <w:highlight w:val="none"/>
        </w:rPr>
        <w:t>方案部分参照比选文件“第四章</w:t>
      </w:r>
      <w:r>
        <w:rPr>
          <w:rFonts w:hint="eastAsia" w:ascii="微软雅黑" w:hAnsi="微软雅黑" w:eastAsia="微软雅黑"/>
          <w:szCs w:val="21"/>
          <w:highlight w:val="none"/>
          <w:lang w:val="en-US" w:eastAsia="zh-CN"/>
        </w:rPr>
        <w:t>项目</w:t>
      </w:r>
      <w:r>
        <w:rPr>
          <w:rFonts w:hint="eastAsia" w:ascii="微软雅黑" w:hAnsi="微软雅黑" w:eastAsia="微软雅黑"/>
          <w:szCs w:val="21"/>
          <w:highlight w:val="none"/>
        </w:rPr>
        <w:t>需求及说明”。</w:t>
      </w:r>
    </w:p>
    <w:p w14:paraId="48AB4778">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9.2本比选文件应符合以下要求：</w:t>
      </w:r>
    </w:p>
    <w:p w14:paraId="3E5AF2A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9.2.1本比选文件要求的或比选供应商认为有必要提供的其他资料，可根据所提供资料的内容和性质列入上述各部分的文件中。</w:t>
      </w:r>
    </w:p>
    <w:p w14:paraId="1B3116D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9.2.2比选供应商应使用比选文件提供的比选响应文件格式</w:t>
      </w:r>
      <w:r>
        <w:rPr>
          <w:rFonts w:ascii="微软雅黑" w:hAnsi="微软雅黑" w:eastAsia="微软雅黑"/>
          <w:szCs w:val="21"/>
        </w:rPr>
        <w:t>，</w:t>
      </w:r>
      <w:r>
        <w:rPr>
          <w:rFonts w:hint="eastAsia" w:ascii="微软雅黑" w:hAnsi="微软雅黑" w:eastAsia="微软雅黑"/>
          <w:szCs w:val="21"/>
        </w:rPr>
        <w:t>表格可以按同样格式扩展。</w:t>
      </w:r>
    </w:p>
    <w:p w14:paraId="1F32FE5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9.2.3比选响应文件应印刷清晰整洁，编制目录，注明页码，以便查阅。</w:t>
      </w:r>
    </w:p>
    <w:p w14:paraId="525A3FF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9.2.4比选响应文件、比选交换的文件和往来信函应采用简体中文。除非比选文件另有规定，计量单位应使用中华人民共和国法定计量单位。</w:t>
      </w:r>
    </w:p>
    <w:p w14:paraId="556BBAB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9.2.5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14:paraId="5F232C51">
      <w:pPr>
        <w:numPr>
          <w:ilvl w:val="0"/>
          <w:numId w:val="0"/>
        </w:numPr>
        <w:adjustRightInd w:val="0"/>
        <w:snapToGrid w:val="0"/>
        <w:spacing w:line="480" w:lineRule="exact"/>
        <w:ind w:left="494" w:leftChars="200" w:hanging="74" w:hangingChars="35"/>
        <w:rPr>
          <w:rFonts w:ascii="微软雅黑" w:hAnsi="微软雅黑" w:eastAsia="微软雅黑"/>
          <w:b/>
          <w:bCs/>
          <w:szCs w:val="21"/>
        </w:rPr>
      </w:pPr>
      <w:bookmarkStart w:id="27" w:name="_Toc23613354"/>
      <w:r>
        <w:rPr>
          <w:rFonts w:hint="default" w:ascii="微软雅黑" w:hAnsi="微软雅黑" w:eastAsia="微软雅黑" w:cs="Times New Roman"/>
          <w:b/>
          <w:bCs/>
          <w:kern w:val="2"/>
          <w:sz w:val="21"/>
          <w:szCs w:val="21"/>
          <w:lang w:val="en-US" w:eastAsia="zh-CN" w:bidi="ar-SA"/>
        </w:rPr>
        <w:t>10．</w:t>
      </w:r>
      <w:r>
        <w:rPr>
          <w:rFonts w:hint="eastAsia" w:ascii="微软雅黑" w:hAnsi="微软雅黑" w:eastAsia="微软雅黑"/>
          <w:b/>
          <w:bCs/>
          <w:szCs w:val="21"/>
        </w:rPr>
        <w:t>比选报价</w:t>
      </w:r>
      <w:bookmarkEnd w:id="27"/>
      <w:r>
        <w:rPr>
          <w:rFonts w:hint="eastAsia" w:ascii="微软雅黑" w:hAnsi="微软雅黑" w:eastAsia="微软雅黑"/>
          <w:b/>
          <w:bCs/>
          <w:szCs w:val="21"/>
        </w:rPr>
        <w:t>说明</w:t>
      </w:r>
    </w:p>
    <w:p w14:paraId="1AF5232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10.1除非本比选文件或补充/澄清通知另有规定，比选范围应包括本须知所述的全部内容，比选供应商的报价应是按照国家相关规定，实施比选范围内全部</w:t>
      </w:r>
      <w:r>
        <w:rPr>
          <w:rFonts w:hint="eastAsia" w:ascii="微软雅黑" w:hAnsi="微软雅黑" w:eastAsia="微软雅黑"/>
          <w:szCs w:val="21"/>
          <w:lang w:val="en-US" w:eastAsia="zh-CN"/>
        </w:rPr>
        <w:t>维保</w:t>
      </w:r>
      <w:r>
        <w:rPr>
          <w:rFonts w:hint="eastAsia" w:ascii="微软雅黑" w:hAnsi="微软雅黑" w:eastAsia="微软雅黑"/>
          <w:szCs w:val="21"/>
        </w:rPr>
        <w:t>内容所需的全部费用。</w:t>
      </w:r>
    </w:p>
    <w:p w14:paraId="6C02EC9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10.2对于比选供应商在比选报价中没有进行报价的项目，并且该项目在比选文件中并没有明确提出免除比选供应商的</w:t>
      </w:r>
      <w:r>
        <w:rPr>
          <w:rFonts w:hint="eastAsia" w:ascii="微软雅黑" w:hAnsi="微软雅黑" w:eastAsia="微软雅黑"/>
          <w:szCs w:val="21"/>
          <w:lang w:val="en-US" w:eastAsia="zh-CN"/>
        </w:rPr>
        <w:t>维保</w:t>
      </w:r>
      <w:r>
        <w:rPr>
          <w:rFonts w:hint="eastAsia" w:ascii="微软雅黑" w:hAnsi="微软雅黑" w:eastAsia="微软雅黑"/>
          <w:szCs w:val="21"/>
        </w:rPr>
        <w:t>义务，比选供应商将视为该</w:t>
      </w:r>
      <w:r>
        <w:rPr>
          <w:rFonts w:hint="eastAsia" w:ascii="微软雅黑" w:hAnsi="微软雅黑" w:eastAsia="微软雅黑"/>
          <w:szCs w:val="21"/>
          <w:lang w:val="en-US" w:eastAsia="zh-CN"/>
        </w:rPr>
        <w:t>维保</w:t>
      </w:r>
      <w:r>
        <w:rPr>
          <w:rFonts w:hint="eastAsia" w:ascii="微软雅黑" w:hAnsi="微软雅黑" w:eastAsia="微软雅黑"/>
          <w:szCs w:val="21"/>
        </w:rPr>
        <w:t>项目的价格已包含在比选报价中，或由比选供应商免费提供。</w:t>
      </w:r>
    </w:p>
    <w:p w14:paraId="566BD63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10.3</w:t>
      </w:r>
      <w:r>
        <w:rPr>
          <w:rFonts w:hint="eastAsia" w:ascii="微软雅黑" w:hAnsi="微软雅黑" w:eastAsia="微软雅黑"/>
          <w:szCs w:val="21"/>
          <w:lang w:val="en-US" w:eastAsia="zh-CN"/>
        </w:rPr>
        <w:t>项目</w:t>
      </w:r>
      <w:r>
        <w:rPr>
          <w:rFonts w:hint="eastAsia" w:ascii="微软雅黑" w:hAnsi="微软雅黑" w:eastAsia="微软雅黑"/>
          <w:szCs w:val="21"/>
        </w:rPr>
        <w:t>计费方式在委托范围内采用</w:t>
      </w:r>
      <w:r>
        <w:rPr>
          <w:rFonts w:hint="eastAsia" w:ascii="微软雅黑" w:hAnsi="微软雅黑" w:eastAsia="微软雅黑"/>
          <w:b/>
          <w:bCs/>
          <w:szCs w:val="21"/>
        </w:rPr>
        <w:t>包干制</w:t>
      </w:r>
      <w:r>
        <w:rPr>
          <w:rFonts w:hint="eastAsia" w:ascii="微软雅黑" w:hAnsi="微软雅黑" w:eastAsia="微软雅黑"/>
          <w:szCs w:val="21"/>
        </w:rPr>
        <w:t>。比选供应商必须综合考虑本项目的具体情况、比选供应商自身实力、市场竞争因素规定发生调整的情况，按照比选文件规定的格式和内容进行报价。</w:t>
      </w:r>
    </w:p>
    <w:p w14:paraId="4B074B7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10.4比选价格均采用人民币币种报出。</w:t>
      </w:r>
    </w:p>
    <w:p w14:paraId="27FF1EF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10.5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响应而被拒绝。</w:t>
      </w:r>
    </w:p>
    <w:p w14:paraId="25FF3B44">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10.6比选供应商比选报价超出预算价的比选将被拒绝。</w:t>
      </w:r>
    </w:p>
    <w:p w14:paraId="789FB832">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11.  比选有效期</w:t>
      </w:r>
    </w:p>
    <w:p w14:paraId="6DD15462">
      <w:pPr>
        <w:adjustRightInd w:val="0"/>
        <w:snapToGrid w:val="0"/>
        <w:spacing w:line="480" w:lineRule="exact"/>
        <w:ind w:firstLine="420" w:firstLineChars="200"/>
        <w:rPr>
          <w:rFonts w:ascii="微软雅黑" w:hAnsi="微软雅黑" w:eastAsia="微软雅黑"/>
          <w:szCs w:val="21"/>
          <w:highlight w:val="yellow"/>
        </w:rPr>
      </w:pPr>
      <w:r>
        <w:rPr>
          <w:rFonts w:hint="eastAsia" w:ascii="微软雅黑" w:hAnsi="微软雅黑" w:eastAsia="微软雅黑"/>
          <w:szCs w:val="21"/>
        </w:rPr>
        <w:t>11.1</w:t>
      </w:r>
      <w:r>
        <w:rPr>
          <w:rFonts w:hint="eastAsia" w:ascii="微软雅黑" w:hAnsi="微软雅黑" w:eastAsia="微软雅黑"/>
          <w:szCs w:val="21"/>
          <w:highlight w:val="none"/>
        </w:rPr>
        <w:t>比选有效期为比选之日后本须知</w:t>
      </w:r>
      <w:r>
        <w:rPr>
          <w:rFonts w:hint="eastAsia" w:ascii="微软雅黑" w:hAnsi="微软雅黑" w:eastAsia="微软雅黑"/>
          <w:color w:val="000000" w:themeColor="text1"/>
          <w:szCs w:val="21"/>
          <w:highlight w:val="none"/>
          <w14:textFill>
            <w14:solidFill>
              <w14:schemeClr w14:val="tx1"/>
            </w14:solidFill>
          </w14:textFill>
        </w:rPr>
        <w:t>前附表中第</w:t>
      </w:r>
      <w:r>
        <w:rPr>
          <w:rFonts w:ascii="微软雅黑" w:hAnsi="微软雅黑" w:eastAsia="微软雅黑"/>
          <w:color w:val="000000" w:themeColor="text1"/>
          <w:szCs w:val="21"/>
          <w:highlight w:val="none"/>
          <w:u w:val="single"/>
          <w14:textFill>
            <w14:solidFill>
              <w14:schemeClr w14:val="tx1"/>
            </w14:solidFill>
          </w14:textFill>
        </w:rPr>
        <w:t>9</w:t>
      </w:r>
      <w:r>
        <w:rPr>
          <w:rFonts w:hint="eastAsia" w:ascii="微软雅黑" w:hAnsi="微软雅黑" w:eastAsia="微软雅黑"/>
          <w:color w:val="000000" w:themeColor="text1"/>
          <w:szCs w:val="21"/>
          <w:highlight w:val="none"/>
          <w14:textFill>
            <w14:solidFill>
              <w14:schemeClr w14:val="tx1"/>
            </w14:solidFill>
          </w14:textFill>
        </w:rPr>
        <w:t>项所述</w:t>
      </w:r>
      <w:r>
        <w:rPr>
          <w:rFonts w:hint="eastAsia" w:ascii="微软雅黑" w:hAnsi="微软雅黑" w:eastAsia="微软雅黑"/>
          <w:szCs w:val="21"/>
          <w:highlight w:val="none"/>
        </w:rPr>
        <w:t>的日历日。在此期间内，所有比选响应文件均保持有效。</w:t>
      </w:r>
    </w:p>
    <w:p w14:paraId="606EA4D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11.2在原定比选有效期满之前，如果出现特殊情况，采购人可适当延长比选有效期，并及时通知比选供应商。</w:t>
      </w:r>
    </w:p>
    <w:p w14:paraId="7E422180">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12．比选保证金（本项目不涉及）</w:t>
      </w:r>
    </w:p>
    <w:p w14:paraId="0272D75B">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12.1比选供应商在递交比选响应文件之前必须向采购人交纳本须知前附表第</w:t>
      </w:r>
      <w:r>
        <w:rPr>
          <w:rFonts w:hint="eastAsia" w:ascii="微软雅黑" w:hAnsi="微软雅黑" w:eastAsia="微软雅黑"/>
          <w:szCs w:val="21"/>
          <w:u w:val="single"/>
        </w:rPr>
        <w:t>8</w:t>
      </w:r>
      <w:r>
        <w:rPr>
          <w:rFonts w:hint="eastAsia" w:ascii="微软雅黑" w:hAnsi="微软雅黑" w:eastAsia="微软雅黑"/>
          <w:szCs w:val="21"/>
        </w:rPr>
        <w:t>项所述金额的比选保证金。</w:t>
      </w:r>
    </w:p>
    <w:p w14:paraId="6FA4667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12.2比选保证金有效期应与比选有效期保持一致。</w:t>
      </w:r>
    </w:p>
    <w:p w14:paraId="3BDB014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12.3比选供应商若依据本须知第</w:t>
      </w:r>
      <w:r>
        <w:rPr>
          <w:rFonts w:hint="eastAsia" w:ascii="微软雅黑" w:hAnsi="微软雅黑" w:eastAsia="微软雅黑"/>
          <w:szCs w:val="21"/>
          <w:u w:val="single"/>
        </w:rPr>
        <w:t>11</w:t>
      </w:r>
      <w:r>
        <w:rPr>
          <w:rFonts w:hint="eastAsia" w:ascii="微软雅黑" w:hAnsi="微软雅黑" w:eastAsia="微软雅黑"/>
          <w:szCs w:val="21"/>
        </w:rPr>
        <w:t>条的规定延长了比选响应文件有效期，比选保证金的有效期也相应延长；若比选供应商不同意延长比选有效期而放弃比选，采购人将在原比选保证金有效期内退还其比选保证金。对于未能按要求提交足额比选保证金的比选响应文件，可视为不响应比选文件而予以拒绝。</w:t>
      </w:r>
    </w:p>
    <w:p w14:paraId="036D614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12.4中选人的比选保证金将在中选人按规定与比选供应商签订合同之后5个工作日内无息返还；未成交比选供应商的比选保证金，将在中选通知书发出后5个工作日内无息返还。</w:t>
      </w:r>
    </w:p>
    <w:p w14:paraId="3C3302D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12.5比选供应商如有下列情况，其比选保证金将不予退还：</w:t>
      </w:r>
    </w:p>
    <w:p w14:paraId="1FDC518E">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12.5.1比选供应商在比选有效期内修改或撤回其比选响应文件；</w:t>
      </w:r>
    </w:p>
    <w:p w14:paraId="2F69C2DE">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12.5.2串通作弊、哄抬标价；</w:t>
      </w:r>
    </w:p>
    <w:p w14:paraId="5BEF6B19">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w:t>
      </w:r>
      <w:r>
        <w:rPr>
          <w:rFonts w:ascii="微软雅黑" w:hAnsi="微软雅黑" w:eastAsia="微软雅黑"/>
          <w:szCs w:val="21"/>
        </w:rPr>
        <w:t>6</w:t>
      </w:r>
      <w:r>
        <w:rPr>
          <w:rFonts w:hint="eastAsia" w:ascii="微软雅黑" w:hAnsi="微软雅黑" w:eastAsia="微软雅黑"/>
          <w:szCs w:val="21"/>
        </w:rPr>
        <w:t>成交的比选供应商未能在规定的期限内与比选供应商签订合同；</w:t>
      </w:r>
    </w:p>
    <w:p w14:paraId="37590E6A">
      <w:pPr>
        <w:adjustRightInd w:val="0"/>
        <w:snapToGrid w:val="0"/>
        <w:spacing w:line="480" w:lineRule="exact"/>
        <w:ind w:firstLine="420" w:firstLineChars="200"/>
        <w:rPr>
          <w:rFonts w:ascii="微软雅黑" w:hAnsi="微软雅黑" w:eastAsia="微软雅黑"/>
          <w:b/>
          <w:bCs/>
          <w:szCs w:val="21"/>
        </w:rPr>
      </w:pPr>
      <w:bookmarkStart w:id="28" w:name="_Toc23613356"/>
      <w:r>
        <w:rPr>
          <w:rFonts w:hint="eastAsia" w:ascii="微软雅黑" w:hAnsi="微软雅黑" w:eastAsia="微软雅黑"/>
          <w:b/>
          <w:bCs/>
          <w:szCs w:val="21"/>
        </w:rPr>
        <w:t>13．比选响应文件的签署</w:t>
      </w:r>
      <w:bookmarkEnd w:id="28"/>
    </w:p>
    <w:p w14:paraId="06DD5C0C">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13.1</w:t>
      </w:r>
      <w:r>
        <w:rPr>
          <w:rFonts w:hint="eastAsia" w:ascii="微软雅黑" w:hAnsi="微软雅黑" w:eastAsia="微软雅黑"/>
          <w:szCs w:val="21"/>
        </w:rPr>
        <w:t>比选供应商应按本须知第9条规定内容与格式向采购人送交比选响应文件，比选供应商应针对所投项目</w:t>
      </w:r>
      <w:r>
        <w:rPr>
          <w:rFonts w:hint="eastAsia" w:ascii="微软雅黑" w:hAnsi="微软雅黑" w:eastAsia="微软雅黑"/>
          <w:b/>
          <w:bCs/>
          <w:szCs w:val="21"/>
          <w:u w:val="single"/>
        </w:rPr>
        <w:t>独立准备</w:t>
      </w:r>
      <w:r>
        <w:rPr>
          <w:rFonts w:hint="eastAsia" w:ascii="微软雅黑" w:hAnsi="微软雅黑" w:eastAsia="微软雅黑"/>
          <w:szCs w:val="21"/>
        </w:rPr>
        <w:t>比选响应文件</w:t>
      </w:r>
      <w:r>
        <w:rPr>
          <w:rFonts w:hint="eastAsia" w:ascii="微软雅黑" w:hAnsi="微软雅黑" w:eastAsia="微软雅黑"/>
          <w:b/>
          <w:bCs/>
          <w:szCs w:val="21"/>
        </w:rPr>
        <w:t>正</w:t>
      </w:r>
      <w:r>
        <w:rPr>
          <w:rFonts w:hint="eastAsia" w:ascii="微软雅黑" w:hAnsi="微软雅黑" w:eastAsia="微软雅黑"/>
          <w:b/>
          <w:szCs w:val="21"/>
        </w:rPr>
        <w:t>本一份，副本</w:t>
      </w:r>
      <w:r>
        <w:rPr>
          <w:rFonts w:hint="eastAsia" w:ascii="微软雅黑" w:hAnsi="微软雅黑" w:eastAsia="微软雅黑"/>
          <w:b/>
          <w:szCs w:val="21"/>
          <w:lang w:val="en-US" w:eastAsia="zh-CN"/>
        </w:rPr>
        <w:t>壹</w:t>
      </w:r>
      <w:r>
        <w:rPr>
          <w:rFonts w:hint="eastAsia" w:ascii="微软雅黑" w:hAnsi="微软雅黑" w:eastAsia="微软雅黑"/>
          <w:b/>
          <w:szCs w:val="21"/>
        </w:rPr>
        <w:t>份，</w:t>
      </w:r>
      <w:r>
        <w:rPr>
          <w:rFonts w:hint="eastAsia" w:ascii="微软雅黑" w:hAnsi="微软雅黑" w:eastAsia="微软雅黑"/>
          <w:szCs w:val="21"/>
        </w:rPr>
        <w:t>当正本与副本有不一致之处时，以正本为准。比选响应文件的副本可为正本的复印件。</w:t>
      </w:r>
    </w:p>
    <w:p w14:paraId="539E026F">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13.2</w:t>
      </w:r>
      <w:r>
        <w:rPr>
          <w:rFonts w:hint="eastAsia" w:ascii="微软雅黑" w:hAnsi="微软雅黑" w:eastAsia="微软雅黑"/>
          <w:szCs w:val="21"/>
        </w:rPr>
        <w:t>比选响应文件的正本，一律用不褪色的墨水书写或打印并逐页编码，加盖比选供应商单位公章、</w:t>
      </w:r>
      <w:r>
        <w:rPr>
          <w:rFonts w:ascii="微软雅黑" w:hAnsi="微软雅黑" w:eastAsia="微软雅黑"/>
          <w:szCs w:val="21"/>
        </w:rPr>
        <w:t>法定代表人</w:t>
      </w:r>
      <w:r>
        <w:rPr>
          <w:rFonts w:hint="eastAsia" w:ascii="微软雅黑" w:hAnsi="微软雅黑" w:eastAsia="微软雅黑"/>
          <w:szCs w:val="21"/>
        </w:rPr>
        <w:t>（含骑缝章），并由比选供应商的法定代表人或其授权的代理人签字。</w:t>
      </w:r>
    </w:p>
    <w:p w14:paraId="4FCB20BD">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13.3</w:t>
      </w:r>
      <w:r>
        <w:rPr>
          <w:rFonts w:hint="eastAsia" w:ascii="微软雅黑" w:hAnsi="微软雅黑" w:eastAsia="微软雅黑"/>
          <w:szCs w:val="21"/>
        </w:rPr>
        <w:t>全套比选响应文件应无涂改和行间插字</w:t>
      </w:r>
      <w:r>
        <w:rPr>
          <w:rFonts w:ascii="微软雅黑" w:hAnsi="微软雅黑" w:eastAsia="微软雅黑"/>
          <w:szCs w:val="21"/>
        </w:rPr>
        <w:t>，</w:t>
      </w:r>
      <w:r>
        <w:rPr>
          <w:rFonts w:hint="eastAsia" w:ascii="微软雅黑" w:hAnsi="微软雅黑" w:eastAsia="微软雅黑"/>
          <w:szCs w:val="21"/>
        </w:rPr>
        <w:t>若有改动，无论何种原因所造成，都应由比选供应商的法定代表人或其授权的代理人在改动处签字。</w:t>
      </w:r>
    </w:p>
    <w:p w14:paraId="577345CC">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13.4</w:t>
      </w:r>
      <w:r>
        <w:rPr>
          <w:rFonts w:hint="eastAsia" w:ascii="微软雅黑" w:hAnsi="微软雅黑" w:eastAsia="微软雅黑"/>
          <w:szCs w:val="21"/>
        </w:rPr>
        <w:t>比选响应文件应严格按照比选文件规定的顺序装订成册并编制目录，由于编排混乱导致比选响应文件被误读或查找不到，视为比选供应商的责任。</w:t>
      </w:r>
    </w:p>
    <w:p w14:paraId="4ED01D8A">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13.5</w:t>
      </w:r>
      <w:r>
        <w:rPr>
          <w:rFonts w:hint="eastAsia" w:ascii="微软雅黑" w:hAnsi="微软雅黑" w:eastAsia="微软雅黑"/>
          <w:szCs w:val="21"/>
        </w:rPr>
        <w:t>比选响应文件应严格按照比选文件的要求提交，并按规定的统一格式逐项填写，不准有空项；无相应内容可填写“无”、“无相应指标”等明确的回答文字。</w:t>
      </w:r>
    </w:p>
    <w:p w14:paraId="7CAB47A0">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13.6</w:t>
      </w:r>
      <w:r>
        <w:rPr>
          <w:rFonts w:hint="eastAsia" w:ascii="微软雅黑" w:hAnsi="微软雅黑" w:eastAsia="微软雅黑"/>
          <w:szCs w:val="21"/>
        </w:rPr>
        <w:t>比选报价信为在比选仪式上唱标的内容，要求按格式统一填写，不得自行增减内容。比选供应商必须保证比选响应文件所提供的全部资料真实可靠，并接受评审委员会对其中任何资料进一步审查的要求。</w:t>
      </w:r>
      <w:bookmarkStart w:id="29" w:name="_Toc33340838"/>
      <w:bookmarkStart w:id="30" w:name="_Toc24083813"/>
      <w:bookmarkStart w:id="31" w:name="_Toc24455233"/>
      <w:bookmarkStart w:id="32" w:name="_Toc10213430"/>
      <w:bookmarkStart w:id="33" w:name="_Toc68963464"/>
    </w:p>
    <w:p w14:paraId="7D04C9B7">
      <w:pPr>
        <w:rPr>
          <w:rFonts w:ascii="微软雅黑" w:hAnsi="微软雅黑" w:eastAsia="微软雅黑"/>
          <w:b/>
          <w:bCs/>
          <w:sz w:val="28"/>
          <w:szCs w:val="28"/>
        </w:rPr>
      </w:pPr>
      <w:r>
        <w:rPr>
          <w:rFonts w:ascii="微软雅黑" w:hAnsi="微软雅黑" w:eastAsia="微软雅黑"/>
          <w:sz w:val="28"/>
          <w:szCs w:val="28"/>
        </w:rPr>
        <w:br w:type="page"/>
      </w:r>
    </w:p>
    <w:p w14:paraId="2DAE685A">
      <w:pPr>
        <w:pStyle w:val="3"/>
        <w:spacing w:line="480" w:lineRule="auto"/>
        <w:rPr>
          <w:rFonts w:ascii="微软雅黑" w:hAnsi="微软雅黑" w:eastAsia="微软雅黑"/>
          <w:sz w:val="28"/>
          <w:szCs w:val="28"/>
        </w:rPr>
      </w:pPr>
      <w:bookmarkStart w:id="34" w:name="_Toc19344"/>
      <w:r>
        <w:rPr>
          <w:rFonts w:hint="eastAsia" w:ascii="微软雅黑" w:hAnsi="微软雅黑" w:eastAsia="微软雅黑"/>
          <w:sz w:val="28"/>
          <w:szCs w:val="28"/>
        </w:rPr>
        <w:t>四、比选响应文件的递交</w:t>
      </w:r>
      <w:bookmarkEnd w:id="29"/>
      <w:bookmarkEnd w:id="30"/>
      <w:bookmarkEnd w:id="31"/>
      <w:bookmarkEnd w:id="32"/>
      <w:bookmarkEnd w:id="33"/>
      <w:bookmarkEnd w:id="34"/>
    </w:p>
    <w:p w14:paraId="6AC994B6">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14. 比选响应文件的装订、密封和标记</w:t>
      </w:r>
    </w:p>
    <w:p w14:paraId="7A391DE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比选供应商应将比选响应文件按照本须知第</w:t>
      </w:r>
      <w:r>
        <w:rPr>
          <w:rFonts w:hint="eastAsia" w:ascii="微软雅黑" w:hAnsi="微软雅黑" w:eastAsia="微软雅黑"/>
          <w:szCs w:val="21"/>
          <w:u w:val="single"/>
        </w:rPr>
        <w:t>9</w:t>
      </w:r>
      <w:r>
        <w:rPr>
          <w:rFonts w:hint="eastAsia" w:ascii="微软雅黑" w:hAnsi="微软雅黑" w:eastAsia="微软雅黑"/>
          <w:szCs w:val="21"/>
        </w:rPr>
        <w:t>条规定的内容和顺序进行编排。</w:t>
      </w:r>
    </w:p>
    <w:p w14:paraId="53A334E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14.1比选响应文件正本、副本、比选报价表应分别密封，并注明“正本”</w:t>
      </w:r>
      <w:r>
        <w:rPr>
          <w:rFonts w:hint="eastAsia" w:ascii="微软雅黑" w:hAnsi="微软雅黑" w:eastAsia="微软雅黑"/>
          <w:szCs w:val="21"/>
          <w:lang w:eastAsia="zh-CN"/>
        </w:rPr>
        <w:t>、</w:t>
      </w:r>
      <w:r>
        <w:rPr>
          <w:rFonts w:hint="eastAsia" w:ascii="微软雅黑" w:hAnsi="微软雅黑" w:eastAsia="微软雅黑"/>
          <w:szCs w:val="21"/>
        </w:rPr>
        <w:t>“副本”字样。然后将所有比选响应文件统一封装在一个外层封套中，封口处需加盖比选供应商公章。</w:t>
      </w:r>
    </w:p>
    <w:p w14:paraId="4B63C45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14.2在比选响应文件外层封套上均应注明下列识别标志：</w:t>
      </w:r>
    </w:p>
    <w:p w14:paraId="45084CDC">
      <w:pPr>
        <w:numPr>
          <w:ilvl w:val="0"/>
          <w:numId w:val="0"/>
        </w:numPr>
        <w:adjustRightInd w:val="0"/>
        <w:snapToGrid w:val="0"/>
        <w:spacing w:line="480" w:lineRule="exact"/>
        <w:ind w:left="1044" w:leftChars="0" w:hanging="420" w:firstLineChars="0"/>
        <w:rPr>
          <w:rFonts w:hint="eastAsia" w:ascii="微软雅黑" w:hAnsi="微软雅黑" w:eastAsia="微软雅黑"/>
          <w:szCs w:val="21"/>
          <w:lang w:eastAsia="zh-CN"/>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rPr>
        <w:t>项目名称</w:t>
      </w:r>
      <w:r>
        <w:rPr>
          <w:rFonts w:hint="eastAsia" w:ascii="微软雅黑" w:hAnsi="微软雅黑" w:eastAsia="微软雅黑"/>
          <w:szCs w:val="21"/>
          <w:lang w:val="en-US" w:eastAsia="zh-CN"/>
        </w:rPr>
        <w:t>；</w:t>
      </w:r>
    </w:p>
    <w:p w14:paraId="2A1BC93C">
      <w:pPr>
        <w:numPr>
          <w:ilvl w:val="0"/>
          <w:numId w:val="0"/>
        </w:numPr>
        <w:adjustRightInd w:val="0"/>
        <w:snapToGrid w:val="0"/>
        <w:spacing w:line="480" w:lineRule="exact"/>
        <w:ind w:left="1044" w:leftChars="0" w:hanging="420" w:firstLineChars="0"/>
        <w:rPr>
          <w:rFonts w:hint="eastAsia" w:ascii="微软雅黑" w:hAnsi="微软雅黑" w:eastAsia="微软雅黑"/>
          <w:szCs w:val="21"/>
          <w:lang w:eastAsia="zh-CN"/>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rPr>
        <w:t>比选响应文件递交地点</w:t>
      </w:r>
      <w:r>
        <w:rPr>
          <w:rFonts w:hint="eastAsia" w:ascii="微软雅黑" w:hAnsi="微软雅黑" w:eastAsia="微软雅黑"/>
          <w:szCs w:val="21"/>
          <w:lang w:val="en-US" w:eastAsia="zh-CN"/>
        </w:rPr>
        <w:t>；</w:t>
      </w:r>
    </w:p>
    <w:p w14:paraId="2C238FE3">
      <w:pPr>
        <w:numPr>
          <w:ilvl w:val="0"/>
          <w:numId w:val="0"/>
        </w:numPr>
        <w:adjustRightInd w:val="0"/>
        <w:snapToGrid w:val="0"/>
        <w:spacing w:line="480" w:lineRule="exact"/>
        <w:ind w:firstLine="630" w:firstLineChars="300"/>
        <w:rPr>
          <w:rFonts w:ascii="微软雅黑" w:hAnsi="微软雅黑" w:eastAsia="微软雅黑"/>
          <w:szCs w:val="21"/>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highlight w:val="none"/>
        </w:rPr>
        <w:t>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8</w:t>
      </w:r>
      <w:r>
        <w:rPr>
          <w:rFonts w:ascii="微软雅黑" w:hAnsi="微软雅黑" w:eastAsia="微软雅黑"/>
          <w:szCs w:val="21"/>
          <w:highlight w:val="none"/>
        </w:rPr>
        <w:t>日</w:t>
      </w:r>
      <w:r>
        <w:rPr>
          <w:rFonts w:hint="eastAsia" w:ascii="微软雅黑" w:hAnsi="微软雅黑" w:eastAsia="微软雅黑"/>
          <w:szCs w:val="21"/>
          <w:highlight w:val="none"/>
        </w:rPr>
        <w:t xml:space="preserve"> </w:t>
      </w:r>
      <w:r>
        <w:rPr>
          <w:rFonts w:ascii="微软雅黑" w:hAnsi="微软雅黑" w:eastAsia="微软雅黑"/>
          <w:szCs w:val="21"/>
          <w:highlight w:val="none"/>
        </w:rPr>
        <w:t>1</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 xml:space="preserve"> 时</w:t>
      </w:r>
      <w:r>
        <w:rPr>
          <w:rFonts w:hint="eastAsia" w:ascii="微软雅黑" w:hAnsi="微软雅黑" w:eastAsia="微软雅黑"/>
          <w:szCs w:val="21"/>
          <w:highlight w:val="none"/>
          <w:lang w:val="en-US" w:eastAsia="zh-CN"/>
        </w:rPr>
        <w:t>0</w:t>
      </w:r>
      <w:r>
        <w:rPr>
          <w:rFonts w:ascii="微软雅黑" w:hAnsi="微软雅黑" w:eastAsia="微软雅黑"/>
          <w:szCs w:val="21"/>
          <w:highlight w:val="none"/>
        </w:rPr>
        <w:t>0</w:t>
      </w:r>
      <w:r>
        <w:rPr>
          <w:rFonts w:hint="eastAsia" w:ascii="微软雅黑" w:hAnsi="微软雅黑" w:eastAsia="微软雅黑"/>
          <w:szCs w:val="21"/>
          <w:highlight w:val="none"/>
        </w:rPr>
        <w:t>分（北京时间）比选</w:t>
      </w:r>
      <w:r>
        <w:rPr>
          <w:rFonts w:hint="eastAsia" w:ascii="微软雅黑" w:hAnsi="微软雅黑" w:eastAsia="微软雅黑"/>
          <w:szCs w:val="21"/>
        </w:rPr>
        <w:t>，此时间以前不得开启”的字样并加盖比选供应商公章</w:t>
      </w:r>
    </w:p>
    <w:p w14:paraId="74C6E85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14.3除了按本须知第</w:t>
      </w:r>
      <w:r>
        <w:rPr>
          <w:rFonts w:hint="eastAsia" w:ascii="微软雅黑" w:hAnsi="微软雅黑" w:eastAsia="微软雅黑"/>
          <w:szCs w:val="21"/>
          <w:u w:val="single"/>
        </w:rPr>
        <w:t>14.2</w:t>
      </w:r>
      <w:r>
        <w:rPr>
          <w:rFonts w:hint="eastAsia" w:ascii="微软雅黑" w:hAnsi="微软雅黑" w:eastAsia="微软雅黑"/>
          <w:szCs w:val="21"/>
        </w:rPr>
        <w:t>款所要求的识别字样外，在最外层封套上还应写明供应商的名称与地址、邮政编码，以便本须知第</w:t>
      </w:r>
      <w:r>
        <w:rPr>
          <w:rFonts w:hint="eastAsia" w:ascii="微软雅黑" w:hAnsi="微软雅黑" w:eastAsia="微软雅黑"/>
          <w:szCs w:val="21"/>
          <w:u w:val="single"/>
        </w:rPr>
        <w:t>16</w:t>
      </w:r>
      <w:r>
        <w:rPr>
          <w:rFonts w:hint="eastAsia" w:ascii="微软雅黑" w:hAnsi="微软雅黑" w:eastAsia="微软雅黑"/>
          <w:szCs w:val="21"/>
        </w:rPr>
        <w:t>条规定情况发生时，比选机构可按上面标明的比选供应商地址将比选响应文件原封退回。</w:t>
      </w:r>
    </w:p>
    <w:p w14:paraId="6E09E990">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14.4</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如果比选响应文件没有按本须知第</w:t>
      </w:r>
      <w:r>
        <w:rPr>
          <w:rFonts w:hint="eastAsia" w:ascii="微软雅黑" w:hAnsi="微软雅黑" w:eastAsia="微软雅黑"/>
          <w:szCs w:val="21"/>
          <w:u w:val="single"/>
        </w:rPr>
        <w:t>14</w:t>
      </w:r>
      <w:r>
        <w:rPr>
          <w:rFonts w:hint="eastAsia" w:ascii="微软雅黑" w:hAnsi="微软雅黑" w:eastAsia="微软雅黑"/>
          <w:szCs w:val="21"/>
        </w:rPr>
        <w:t>条的有关规定进行标记和密封，采购人将不承担比选响应文件错放或提前开封的责任。</w:t>
      </w:r>
    </w:p>
    <w:p w14:paraId="6C5A2710">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15. 比选响应文件的递交</w:t>
      </w:r>
    </w:p>
    <w:p w14:paraId="56648A9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比选供应商必须按比选邀请书和本须知前附表第</w:t>
      </w:r>
      <w:r>
        <w:rPr>
          <w:rFonts w:ascii="微软雅黑" w:hAnsi="微软雅黑" w:eastAsia="微软雅黑"/>
          <w:szCs w:val="21"/>
          <w:u w:val="single"/>
        </w:rPr>
        <w:t>9</w:t>
      </w:r>
      <w:r>
        <w:rPr>
          <w:rFonts w:hint="eastAsia" w:ascii="微软雅黑" w:hAnsi="微软雅黑" w:eastAsia="微软雅黑"/>
          <w:szCs w:val="21"/>
        </w:rPr>
        <w:t>条中规定的地点，在规定的时间内将比选响应文件送达。</w:t>
      </w:r>
    </w:p>
    <w:p w14:paraId="407AC6C8">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16. 迟到的比选响应文件</w:t>
      </w:r>
    </w:p>
    <w:p w14:paraId="36CE53E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采购人对于迟到的比选响应文件将不予接收，并退还比选供应商。</w:t>
      </w:r>
    </w:p>
    <w:p w14:paraId="7D4E87DF">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17. 比选响应文件的修改与撤回</w:t>
      </w:r>
    </w:p>
    <w:p w14:paraId="6604DE7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比选供应商在递交比选响应文件以后，在规定的比选截止时间之前，可以书面形式向采购人递交请求修改其比选响应文件的通知。但在比选截止以后，不能修改比选响应文件。</w:t>
      </w:r>
    </w:p>
    <w:p w14:paraId="1009D8C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比选供应商修改后的比选响应文件或撤回通知</w:t>
      </w:r>
      <w:r>
        <w:rPr>
          <w:rFonts w:ascii="微软雅黑" w:hAnsi="微软雅黑" w:eastAsia="微软雅黑"/>
          <w:szCs w:val="21"/>
        </w:rPr>
        <w:t>，</w:t>
      </w:r>
      <w:r>
        <w:rPr>
          <w:rFonts w:hint="eastAsia" w:ascii="微软雅黑" w:hAnsi="微软雅黑" w:eastAsia="微软雅黑"/>
          <w:szCs w:val="21"/>
        </w:rPr>
        <w:t>应按本须知第</w:t>
      </w:r>
      <w:r>
        <w:rPr>
          <w:rFonts w:hint="eastAsia" w:ascii="微软雅黑" w:hAnsi="微软雅黑" w:eastAsia="微软雅黑"/>
          <w:szCs w:val="21"/>
          <w:u w:val="single"/>
        </w:rPr>
        <w:t>13</w:t>
      </w:r>
      <w:r>
        <w:rPr>
          <w:rFonts w:hint="eastAsia" w:ascii="微软雅黑" w:hAnsi="微软雅黑" w:eastAsia="微软雅黑"/>
          <w:szCs w:val="21"/>
        </w:rPr>
        <w:t>条和第</w:t>
      </w:r>
      <w:r>
        <w:rPr>
          <w:rFonts w:hint="eastAsia" w:ascii="微软雅黑" w:hAnsi="微软雅黑" w:eastAsia="微软雅黑"/>
          <w:szCs w:val="21"/>
          <w:u w:val="single"/>
        </w:rPr>
        <w:t>14</w:t>
      </w:r>
      <w:r>
        <w:rPr>
          <w:rFonts w:hint="eastAsia" w:ascii="微软雅黑" w:hAnsi="微软雅黑" w:eastAsia="微软雅黑"/>
          <w:szCs w:val="21"/>
        </w:rPr>
        <w:t>条的规定编制、签署、密封、标志和递交。</w:t>
      </w:r>
    </w:p>
    <w:p w14:paraId="7DE9298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根据本须知第</w:t>
      </w:r>
      <w:r>
        <w:rPr>
          <w:rFonts w:hint="eastAsia" w:ascii="微软雅黑" w:hAnsi="微软雅黑" w:eastAsia="微软雅黑"/>
          <w:szCs w:val="21"/>
          <w:u w:val="single"/>
        </w:rPr>
        <w:t>12</w:t>
      </w:r>
      <w:r>
        <w:rPr>
          <w:rFonts w:hint="eastAsia" w:ascii="微软雅黑" w:hAnsi="微软雅黑" w:eastAsia="微软雅黑"/>
          <w:szCs w:val="21"/>
        </w:rPr>
        <w:t>款的规定</w:t>
      </w:r>
      <w:r>
        <w:rPr>
          <w:rFonts w:ascii="微软雅黑" w:hAnsi="微软雅黑" w:eastAsia="微软雅黑"/>
          <w:szCs w:val="21"/>
        </w:rPr>
        <w:t>，</w:t>
      </w:r>
      <w:r>
        <w:rPr>
          <w:rFonts w:hint="eastAsia" w:ascii="微软雅黑" w:hAnsi="微软雅黑" w:eastAsia="微软雅黑"/>
          <w:szCs w:val="21"/>
        </w:rPr>
        <w:t>在比选截止时间与比选文件中规定的比选有效期终止日之间的这段时间内</w:t>
      </w:r>
      <w:r>
        <w:rPr>
          <w:rFonts w:ascii="微软雅黑" w:hAnsi="微软雅黑" w:eastAsia="微软雅黑"/>
          <w:szCs w:val="21"/>
        </w:rPr>
        <w:t>，</w:t>
      </w:r>
      <w:r>
        <w:rPr>
          <w:rFonts w:hint="eastAsia" w:ascii="微软雅黑" w:hAnsi="微软雅黑" w:eastAsia="微软雅黑"/>
          <w:szCs w:val="21"/>
        </w:rPr>
        <w:t>比选供应商不能撤回比选响应文件，否则其比选保证金将被没收。</w:t>
      </w:r>
    </w:p>
    <w:p w14:paraId="563FDC72">
      <w:pPr>
        <w:rPr>
          <w:rFonts w:ascii="微软雅黑" w:hAnsi="微软雅黑" w:eastAsia="微软雅黑"/>
          <w:b/>
          <w:bCs/>
          <w:sz w:val="28"/>
          <w:szCs w:val="28"/>
        </w:rPr>
      </w:pPr>
      <w:bookmarkStart w:id="35" w:name="_Toc24455234"/>
      <w:bookmarkStart w:id="36" w:name="_Toc33340839"/>
      <w:bookmarkStart w:id="37" w:name="_Toc68963465"/>
      <w:bookmarkStart w:id="38" w:name="_Toc24083814"/>
      <w:bookmarkStart w:id="39" w:name="_Toc10213431"/>
    </w:p>
    <w:p w14:paraId="017B17A2">
      <w:pPr>
        <w:pStyle w:val="3"/>
        <w:spacing w:line="480" w:lineRule="auto"/>
        <w:rPr>
          <w:rFonts w:ascii="微软雅黑" w:hAnsi="微软雅黑" w:eastAsia="微软雅黑"/>
          <w:sz w:val="28"/>
          <w:szCs w:val="28"/>
        </w:rPr>
      </w:pPr>
      <w:bookmarkStart w:id="40" w:name="_Toc138"/>
      <w:r>
        <w:rPr>
          <w:rFonts w:hint="eastAsia" w:ascii="微软雅黑" w:hAnsi="微软雅黑" w:eastAsia="微软雅黑"/>
          <w:sz w:val="28"/>
          <w:szCs w:val="28"/>
        </w:rPr>
        <w:t>五、比选与评</w:t>
      </w:r>
      <w:bookmarkEnd w:id="35"/>
      <w:bookmarkEnd w:id="36"/>
      <w:bookmarkEnd w:id="37"/>
      <w:bookmarkEnd w:id="38"/>
      <w:r>
        <w:rPr>
          <w:rFonts w:hint="eastAsia" w:ascii="微软雅黑" w:hAnsi="微软雅黑" w:eastAsia="微软雅黑"/>
          <w:sz w:val="28"/>
          <w:szCs w:val="28"/>
        </w:rPr>
        <w:t>审</w:t>
      </w:r>
      <w:bookmarkEnd w:id="39"/>
      <w:bookmarkEnd w:id="40"/>
    </w:p>
    <w:p w14:paraId="23F56772">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18.  比选</w:t>
      </w:r>
    </w:p>
    <w:p w14:paraId="12FBBA4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18.1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采购人将按照比选邀请书及本须知前附表中规定的时间和地点举行比选会议。</w:t>
      </w:r>
    </w:p>
    <w:p w14:paraId="196BBC2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18.2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比选会议将邀请所有比选供应商参加，比选当天比选供应商代表应签名报到，以证明其出席比选会议。比选供应商未派代表出席比选会议，将视为默认比选结果。</w:t>
      </w:r>
    </w:p>
    <w:p w14:paraId="68672F25">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18.3</w:t>
      </w:r>
      <w:r>
        <w:rPr>
          <w:rFonts w:hint="eastAsia" w:ascii="微软雅黑" w:hAnsi="微软雅黑" w:eastAsia="微软雅黑"/>
          <w:szCs w:val="21"/>
          <w:lang w:val="en-US" w:eastAsia="zh-CN"/>
        </w:rPr>
        <w:t xml:space="preserve"> </w:t>
      </w:r>
      <w:r>
        <w:rPr>
          <w:rFonts w:ascii="微软雅黑" w:hAnsi="微软雅黑" w:eastAsia="微软雅黑"/>
          <w:szCs w:val="21"/>
        </w:rPr>
        <w:t>按规定提交合格的撤回通知的比选响应文件不予开封，并退回给比选供应商。</w:t>
      </w:r>
    </w:p>
    <w:p w14:paraId="4948D1DD">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 xml:space="preserve">比选响应文件有下列情况之一的，采购人不予接受： </w:t>
      </w:r>
    </w:p>
    <w:p w14:paraId="193A29F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1）比选响应文件逾期送达的；</w:t>
      </w:r>
    </w:p>
    <w:p w14:paraId="1CE0FFF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2）比选响应文件未进行密封的。</w:t>
      </w:r>
    </w:p>
    <w:p w14:paraId="7B3606B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18.4</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比选程序：</w:t>
      </w:r>
    </w:p>
    <w:p w14:paraId="7C60E68B">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1)</w:t>
      </w:r>
      <w:r>
        <w:rPr>
          <w:rFonts w:hint="eastAsia" w:ascii="微软雅黑" w:hAnsi="微软雅黑" w:eastAsia="微软雅黑"/>
          <w:szCs w:val="21"/>
        </w:rPr>
        <w:t>比选会议将由采购人组织并主持；</w:t>
      </w:r>
    </w:p>
    <w:p w14:paraId="5CB57033">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2)</w:t>
      </w:r>
      <w:r>
        <w:rPr>
          <w:rFonts w:hint="eastAsia" w:ascii="微软雅黑" w:hAnsi="微软雅黑" w:eastAsia="微软雅黑"/>
          <w:szCs w:val="21"/>
        </w:rPr>
        <w:t>比选供应商代表或公证监督机构将检查比选响应文件的密封情况；</w:t>
      </w:r>
    </w:p>
    <w:p w14:paraId="75B3F515">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3)</w:t>
      </w:r>
      <w:r>
        <w:rPr>
          <w:rFonts w:hint="eastAsia" w:ascii="微软雅黑" w:hAnsi="微软雅黑" w:eastAsia="微软雅黑"/>
          <w:szCs w:val="21"/>
        </w:rPr>
        <w:t>经确认无误，由工作人员当众拆封，宣读比选供应商名称、比选报价、修改内容（如有）以及采购人认为适当的其他内容；</w:t>
      </w:r>
    </w:p>
    <w:p w14:paraId="4B443A75">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4)</w:t>
      </w:r>
      <w:r>
        <w:rPr>
          <w:rFonts w:hint="eastAsia" w:ascii="微软雅黑" w:hAnsi="微软雅黑" w:eastAsia="微软雅黑"/>
          <w:szCs w:val="21"/>
        </w:rPr>
        <w:t>按规定提交合格撤回通知的比选响应文件不予开封；</w:t>
      </w:r>
    </w:p>
    <w:p w14:paraId="09D975B5">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5)</w:t>
      </w:r>
      <w:r>
        <w:rPr>
          <w:rFonts w:hint="eastAsia" w:ascii="微软雅黑" w:hAnsi="微软雅黑" w:eastAsia="微软雅黑"/>
          <w:szCs w:val="21"/>
        </w:rPr>
        <w:t>由采购人整理比选记录并由比选供应商代表现场签字确认。</w:t>
      </w:r>
    </w:p>
    <w:p w14:paraId="2ED83DEC">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19. 评审</w:t>
      </w:r>
      <w:r>
        <w:rPr>
          <w:rFonts w:hint="eastAsia" w:ascii="微软雅黑" w:hAnsi="微软雅黑" w:eastAsia="微软雅黑"/>
          <w:b/>
          <w:bCs/>
          <w:szCs w:val="21"/>
          <w:lang w:val="en-US" w:eastAsia="zh-CN"/>
        </w:rPr>
        <w:t>小组</w:t>
      </w:r>
      <w:r>
        <w:rPr>
          <w:rFonts w:hint="eastAsia" w:ascii="微软雅黑" w:hAnsi="微软雅黑" w:eastAsia="微软雅黑"/>
          <w:b/>
          <w:bCs/>
          <w:szCs w:val="21"/>
        </w:rPr>
        <w:t>与评审</w:t>
      </w:r>
    </w:p>
    <w:p w14:paraId="252A542B">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19.1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采购人将按照</w:t>
      </w:r>
      <w:r>
        <w:rPr>
          <w:rFonts w:ascii="微软雅黑" w:hAnsi="微软雅黑" w:eastAsia="微软雅黑"/>
          <w:szCs w:val="21"/>
        </w:rPr>
        <w:t>相关管理办法</w:t>
      </w:r>
      <w:r>
        <w:rPr>
          <w:rFonts w:hint="eastAsia" w:ascii="微软雅黑" w:hAnsi="微软雅黑" w:eastAsia="微软雅黑"/>
          <w:szCs w:val="21"/>
        </w:rPr>
        <w:t>组建评审</w:t>
      </w:r>
      <w:r>
        <w:rPr>
          <w:rFonts w:hint="eastAsia" w:ascii="微软雅黑" w:hAnsi="微软雅黑" w:eastAsia="微软雅黑"/>
          <w:szCs w:val="21"/>
          <w:lang w:val="en-US" w:eastAsia="zh-CN"/>
        </w:rPr>
        <w:t>小组</w:t>
      </w:r>
      <w:r>
        <w:rPr>
          <w:rFonts w:hint="eastAsia" w:ascii="微软雅黑" w:hAnsi="微软雅黑" w:eastAsia="微软雅黑"/>
          <w:szCs w:val="21"/>
        </w:rPr>
        <w:t>。</w:t>
      </w:r>
    </w:p>
    <w:p w14:paraId="2F12CB82">
      <w:pPr>
        <w:adjustRightInd w:val="0"/>
        <w:snapToGrid w:val="0"/>
        <w:spacing w:line="480" w:lineRule="exact"/>
        <w:ind w:left="525" w:leftChars="200" w:hanging="105" w:hangingChars="50"/>
        <w:rPr>
          <w:rFonts w:ascii="微软雅黑" w:hAnsi="微软雅黑" w:eastAsia="微软雅黑"/>
          <w:szCs w:val="21"/>
        </w:rPr>
      </w:pPr>
      <w:r>
        <w:rPr>
          <w:rFonts w:hint="eastAsia" w:ascii="微软雅黑" w:hAnsi="微软雅黑" w:eastAsia="微软雅黑"/>
          <w:szCs w:val="21"/>
        </w:rPr>
        <w:t>19.2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评审由评审</w:t>
      </w:r>
      <w:r>
        <w:rPr>
          <w:rFonts w:hint="eastAsia" w:ascii="微软雅黑" w:hAnsi="微软雅黑" w:eastAsia="微软雅黑"/>
          <w:szCs w:val="21"/>
          <w:lang w:val="en-US" w:eastAsia="zh-CN"/>
        </w:rPr>
        <w:t>小组</w:t>
      </w:r>
      <w:r>
        <w:rPr>
          <w:rFonts w:hint="eastAsia" w:ascii="微软雅黑" w:hAnsi="微软雅黑" w:eastAsia="微软雅黑"/>
          <w:szCs w:val="21"/>
        </w:rPr>
        <w:t>负责，对所有比选响应文件的评估都将采用相同的程序和标准。</w:t>
      </w:r>
    </w:p>
    <w:p w14:paraId="6BE0B65B">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20. 初步审查</w:t>
      </w:r>
    </w:p>
    <w:p w14:paraId="02139844">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20.1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在比选采购中，出现下列情形之一的，应予拒绝：</w:t>
      </w:r>
    </w:p>
    <w:p w14:paraId="11722AB7">
      <w:pPr>
        <w:adjustRightInd w:val="0"/>
        <w:snapToGrid w:val="0"/>
        <w:spacing w:line="480" w:lineRule="exact"/>
        <w:ind w:left="470" w:leftChars="202" w:hanging="46" w:hangingChars="22"/>
        <w:rPr>
          <w:rFonts w:ascii="微软雅黑" w:hAnsi="微软雅黑" w:eastAsia="微软雅黑"/>
          <w:szCs w:val="21"/>
        </w:rPr>
      </w:pPr>
      <w:r>
        <w:rPr>
          <w:rFonts w:hint="eastAsia" w:ascii="微软雅黑" w:hAnsi="微软雅黑" w:eastAsia="微软雅黑"/>
          <w:szCs w:val="21"/>
        </w:rPr>
        <w:t>1）出现影响采购公正的违法、违规行为的；</w:t>
      </w:r>
    </w:p>
    <w:p w14:paraId="5690868E">
      <w:pPr>
        <w:adjustRightInd w:val="0"/>
        <w:snapToGrid w:val="0"/>
        <w:spacing w:line="480" w:lineRule="exact"/>
        <w:ind w:left="470" w:leftChars="202" w:hanging="46" w:hangingChars="22"/>
        <w:rPr>
          <w:rFonts w:ascii="微软雅黑" w:hAnsi="微软雅黑" w:eastAsia="微软雅黑"/>
          <w:szCs w:val="21"/>
        </w:rPr>
      </w:pPr>
      <w:r>
        <w:rPr>
          <w:rFonts w:hint="eastAsia" w:ascii="微软雅黑" w:hAnsi="微软雅黑" w:eastAsia="微软雅黑"/>
          <w:szCs w:val="21"/>
        </w:rPr>
        <w:t>2）比选供应商的报价均超过了采购预算，采购人不能支付的。</w:t>
      </w:r>
    </w:p>
    <w:p w14:paraId="7E09DD52">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20.2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评审前，评审</w:t>
      </w:r>
      <w:r>
        <w:rPr>
          <w:rFonts w:hint="eastAsia" w:ascii="微软雅黑" w:hAnsi="微软雅黑" w:eastAsia="微软雅黑"/>
          <w:szCs w:val="21"/>
          <w:lang w:val="en-US" w:eastAsia="zh-CN"/>
        </w:rPr>
        <w:t>小组</w:t>
      </w:r>
      <w:r>
        <w:rPr>
          <w:rFonts w:hint="eastAsia" w:ascii="微软雅黑" w:hAnsi="微软雅黑" w:eastAsia="微软雅黑"/>
          <w:szCs w:val="21"/>
        </w:rPr>
        <w:t>将审查每一比选响应文件是否对比选文件提出的所有实质性要求和条件做出响应，未能在实质性上响应的比选，将按无效处理。只有通过初步审查的比选响应文件才能进入下一步评审程序。</w:t>
      </w:r>
    </w:p>
    <w:p w14:paraId="14DBFEA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20.3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根据比选文件要求，审查并逐项列出比选响应文件的全部偏差。下列情况属于重大偏差：</w:t>
      </w:r>
    </w:p>
    <w:p w14:paraId="72853E9C">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1)</w:t>
      </w:r>
      <w:r>
        <w:rPr>
          <w:rFonts w:hint="eastAsia" w:ascii="微软雅黑" w:hAnsi="微软雅黑" w:eastAsia="微软雅黑"/>
          <w:szCs w:val="21"/>
        </w:rPr>
        <w:t>比选响应文件内容不完整的；</w:t>
      </w:r>
    </w:p>
    <w:p w14:paraId="4EDA7001">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2)</w:t>
      </w:r>
      <w:r>
        <w:rPr>
          <w:rFonts w:hint="eastAsia" w:ascii="微软雅黑" w:hAnsi="微软雅黑" w:eastAsia="微软雅黑"/>
          <w:szCs w:val="21"/>
        </w:rPr>
        <w:t>比选供应商资格不符合比选文件要求的；</w:t>
      </w:r>
    </w:p>
    <w:p w14:paraId="4B71E7F0">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3)</w:t>
      </w:r>
      <w:r>
        <w:rPr>
          <w:rFonts w:hint="eastAsia" w:ascii="微软雅黑" w:hAnsi="微软雅黑" w:eastAsia="微软雅黑"/>
          <w:szCs w:val="21"/>
        </w:rPr>
        <w:t>比选响应文件没有法定代表人或其授权代理人签字或加盖公章；</w:t>
      </w:r>
    </w:p>
    <w:p w14:paraId="16E8DD4B">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4)</w:t>
      </w:r>
      <w:r>
        <w:rPr>
          <w:rFonts w:hint="eastAsia" w:ascii="微软雅黑" w:hAnsi="微软雅黑" w:eastAsia="微软雅黑"/>
          <w:szCs w:val="21"/>
        </w:rPr>
        <w:t>比选响应文件中附有采购人不能接受的条件或对合同中约定的采购人和比选供应商的义务有重大的限制，且纠正这些偏差将会对其他实质上响应比选文件要求的比选供应商的竞争地位产生不公正的影响；</w:t>
      </w:r>
    </w:p>
    <w:p w14:paraId="3ADCE96C">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5)</w:t>
      </w:r>
      <w:r>
        <w:rPr>
          <w:rFonts w:hint="eastAsia" w:ascii="微软雅黑" w:hAnsi="微软雅黑" w:eastAsia="微软雅黑"/>
          <w:szCs w:val="21"/>
        </w:rPr>
        <w:t>不符合比选文件规定的其他实质性要求。</w:t>
      </w:r>
    </w:p>
    <w:p w14:paraId="34007BD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相应比选文件有上述情形之一的，即构成未对比选文件做出实质性响应，将按无效处理，不允许比选供应商通过修改或撤消其不符合要求的偏差，使之成为具有响应性的比选。</w:t>
      </w:r>
    </w:p>
    <w:p w14:paraId="621B8B83">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21．错误的修正</w:t>
      </w:r>
    </w:p>
    <w:p w14:paraId="72ACA7B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对于实质上符合比选文件要求的比选响应文件，评审</w:t>
      </w:r>
      <w:r>
        <w:rPr>
          <w:rFonts w:hint="eastAsia" w:ascii="微软雅黑" w:hAnsi="微软雅黑" w:eastAsia="微软雅黑"/>
          <w:szCs w:val="21"/>
          <w:lang w:val="en-US" w:eastAsia="zh-CN"/>
        </w:rPr>
        <w:t>小组</w:t>
      </w:r>
      <w:r>
        <w:rPr>
          <w:rFonts w:hint="eastAsia" w:ascii="微软雅黑" w:hAnsi="微软雅黑" w:eastAsia="微软雅黑"/>
          <w:szCs w:val="21"/>
        </w:rPr>
        <w:t>将对其报价进行校核，并对有算术性差错的给予修正。修正的原则为：</w:t>
      </w:r>
    </w:p>
    <w:p w14:paraId="2270450F">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a)</w:t>
      </w:r>
      <w:r>
        <w:rPr>
          <w:rFonts w:hint="eastAsia" w:ascii="微软雅黑" w:hAnsi="微软雅黑" w:eastAsia="微软雅黑"/>
          <w:szCs w:val="21"/>
        </w:rPr>
        <w:t>如果用数字表示的数额与用文字表示的数额不一致时，以文字数额为准。</w:t>
      </w:r>
    </w:p>
    <w:p w14:paraId="389A053E">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b)</w:t>
      </w:r>
      <w:r>
        <w:rPr>
          <w:rFonts w:hint="eastAsia" w:ascii="微软雅黑" w:hAnsi="微软雅黑" w:eastAsia="微软雅黑"/>
          <w:szCs w:val="21"/>
        </w:rPr>
        <w:t>当单价与数量的乘积与合价之间不一致时，通常以标出的单价为准。除非评审</w:t>
      </w:r>
      <w:r>
        <w:rPr>
          <w:rFonts w:hint="eastAsia" w:ascii="微软雅黑" w:hAnsi="微软雅黑" w:eastAsia="微软雅黑"/>
          <w:szCs w:val="21"/>
          <w:lang w:val="en-US" w:eastAsia="zh-CN"/>
        </w:rPr>
        <w:t>小组</w:t>
      </w:r>
      <w:r>
        <w:rPr>
          <w:rFonts w:hint="eastAsia" w:ascii="微软雅黑" w:hAnsi="微软雅黑" w:eastAsia="微软雅黑"/>
          <w:szCs w:val="21"/>
        </w:rPr>
        <w:t>认为有明显的小数点错位，此时应以标出的合价为准，并修改单价。</w:t>
      </w:r>
    </w:p>
    <w:p w14:paraId="3471FCEB">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c)</w:t>
      </w:r>
      <w:r>
        <w:rPr>
          <w:rFonts w:hint="eastAsia" w:ascii="微软雅黑" w:hAnsi="微软雅黑" w:eastAsia="微软雅黑"/>
          <w:szCs w:val="21"/>
        </w:rPr>
        <w:t>当各细目的合价累计与总价不一致时，应以各细目合价累计数为准，修正总价。</w:t>
      </w:r>
    </w:p>
    <w:p w14:paraId="5ED19CE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w:t>
      </w:r>
      <w:r>
        <w:rPr>
          <w:rFonts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按以上原则对算术性差错的修正，应取得比选供应商的同意，并确认修正后的最终比选价。如果比选供应商拒绝确认，则其比选响应文件将不予评审，评审</w:t>
      </w:r>
      <w:r>
        <w:rPr>
          <w:rFonts w:hint="eastAsia" w:ascii="微软雅黑" w:hAnsi="微软雅黑" w:eastAsia="微软雅黑"/>
          <w:szCs w:val="21"/>
          <w:lang w:val="en-US" w:eastAsia="zh-CN"/>
        </w:rPr>
        <w:t>小组</w:t>
      </w:r>
      <w:r>
        <w:rPr>
          <w:rFonts w:hint="eastAsia" w:ascii="微软雅黑" w:hAnsi="微软雅黑" w:eastAsia="微软雅黑"/>
          <w:szCs w:val="21"/>
        </w:rPr>
        <w:t>有权宣布其比选无效。</w:t>
      </w:r>
    </w:p>
    <w:p w14:paraId="4EBD2A3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发现比选供应商的报价明显低于其他比选报价，使得其比选报价可能低于其成本的，将要求该比选供应商做出书面说明并提供相关证明材料。比选供应商如不能合理说明或不能提供相关证明材料的，由评审</w:t>
      </w:r>
      <w:r>
        <w:rPr>
          <w:rFonts w:hint="eastAsia" w:ascii="微软雅黑" w:hAnsi="微软雅黑" w:eastAsia="微软雅黑"/>
          <w:szCs w:val="21"/>
          <w:lang w:val="en-US" w:eastAsia="zh-CN"/>
        </w:rPr>
        <w:t>小组</w:t>
      </w:r>
      <w:r>
        <w:rPr>
          <w:rFonts w:hint="eastAsia" w:ascii="微软雅黑" w:hAnsi="微软雅黑" w:eastAsia="微软雅黑"/>
          <w:szCs w:val="21"/>
        </w:rPr>
        <w:t>认定该比选供应商以低于成本报价竞标，其比选将按无效处理。</w:t>
      </w:r>
    </w:p>
    <w:p w14:paraId="3BD08349">
      <w:pPr>
        <w:numPr>
          <w:ilvl w:val="0"/>
          <w:numId w:val="0"/>
        </w:numPr>
        <w:adjustRightInd w:val="0"/>
        <w:snapToGrid w:val="0"/>
        <w:spacing w:line="480" w:lineRule="exact"/>
        <w:ind w:left="494" w:leftChars="200" w:hanging="74" w:hangingChars="35"/>
        <w:rPr>
          <w:rFonts w:ascii="微软雅黑" w:hAnsi="微软雅黑" w:eastAsia="微软雅黑"/>
          <w:b/>
          <w:bCs/>
          <w:szCs w:val="21"/>
        </w:rPr>
      </w:pPr>
      <w:r>
        <w:rPr>
          <w:rFonts w:hint="default" w:ascii="微软雅黑" w:hAnsi="微软雅黑" w:eastAsia="微软雅黑" w:cs="Times New Roman"/>
          <w:b/>
          <w:bCs/>
          <w:kern w:val="2"/>
          <w:sz w:val="21"/>
          <w:szCs w:val="21"/>
          <w:lang w:val="en-US" w:eastAsia="zh-CN" w:bidi="ar-SA"/>
        </w:rPr>
        <w:t>22．</w:t>
      </w:r>
      <w:r>
        <w:rPr>
          <w:rFonts w:hint="eastAsia" w:ascii="微软雅黑" w:hAnsi="微软雅黑" w:eastAsia="微软雅黑"/>
          <w:b/>
          <w:bCs/>
          <w:szCs w:val="21"/>
        </w:rPr>
        <w:t>比选响应文件的澄清</w:t>
      </w:r>
    </w:p>
    <w:p w14:paraId="0527A63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评审阶段，评审</w:t>
      </w:r>
      <w:r>
        <w:rPr>
          <w:rFonts w:hint="eastAsia" w:ascii="微软雅黑" w:hAnsi="微软雅黑" w:eastAsia="微软雅黑"/>
          <w:szCs w:val="21"/>
          <w:lang w:val="en-US" w:eastAsia="zh-CN"/>
        </w:rPr>
        <w:t>小组</w:t>
      </w:r>
      <w:r>
        <w:rPr>
          <w:rFonts w:hint="eastAsia" w:ascii="微软雅黑" w:hAnsi="微软雅黑" w:eastAsia="微软雅黑"/>
          <w:szCs w:val="21"/>
        </w:rPr>
        <w:t>认为需要时，可要求比选供应商现场澄清其比选响应文件中的问题，或者要求补充某些资料，对此，比选供应商不得拒绝。</w:t>
      </w:r>
    </w:p>
    <w:p w14:paraId="27B0BD99">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23．比选响应文件的评价与比较</w:t>
      </w:r>
    </w:p>
    <w:p w14:paraId="1C1865C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23</w:t>
      </w:r>
      <w:r>
        <w:rPr>
          <w:rFonts w:hint="eastAsia" w:ascii="微软雅黑" w:hAnsi="微软雅黑" w:eastAsia="微软雅黑"/>
          <w:szCs w:val="21"/>
          <w:lang w:val="en-US" w:eastAsia="zh-CN"/>
        </w:rPr>
        <w:t>.</w:t>
      </w:r>
      <w:r>
        <w:rPr>
          <w:rFonts w:hint="eastAsia" w:ascii="微软雅黑" w:hAnsi="微软雅黑" w:eastAsia="微软雅黑"/>
          <w:szCs w:val="21"/>
        </w:rPr>
        <w:t>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本项目采用</w:t>
      </w:r>
      <w:r>
        <w:rPr>
          <w:rFonts w:hint="eastAsia" w:ascii="微软雅黑" w:hAnsi="微软雅黑" w:eastAsia="微软雅黑"/>
          <w:szCs w:val="21"/>
          <w:lang w:val="en-US" w:eastAsia="zh-CN"/>
        </w:rPr>
        <w:t>最低评标法</w:t>
      </w:r>
      <w:r>
        <w:rPr>
          <w:rFonts w:hint="eastAsia" w:ascii="微软雅黑" w:hAnsi="微软雅黑" w:eastAsia="微软雅黑"/>
          <w:szCs w:val="21"/>
        </w:rPr>
        <w:t>进行评审，具体评审办法及标准详见第六章。</w:t>
      </w:r>
    </w:p>
    <w:p w14:paraId="77F54BFF">
      <w:pPr>
        <w:adjustRightInd w:val="0"/>
        <w:snapToGrid w:val="0"/>
        <w:spacing w:line="480" w:lineRule="exact"/>
        <w:ind w:left="630" w:leftChars="200" w:hanging="210" w:hangingChars="100"/>
        <w:rPr>
          <w:rFonts w:ascii="微软雅黑" w:hAnsi="微软雅黑" w:eastAsia="微软雅黑"/>
          <w:szCs w:val="21"/>
        </w:rPr>
      </w:pPr>
      <w:r>
        <w:rPr>
          <w:rFonts w:hint="eastAsia" w:ascii="微软雅黑" w:hAnsi="微软雅黑" w:eastAsia="微软雅黑"/>
          <w:szCs w:val="21"/>
        </w:rPr>
        <w:t>23</w:t>
      </w:r>
      <w:r>
        <w:rPr>
          <w:rFonts w:hint="eastAsia" w:ascii="微软雅黑" w:hAnsi="微软雅黑" w:eastAsia="微软雅黑"/>
          <w:szCs w:val="21"/>
          <w:lang w:val="en-US" w:eastAsia="zh-CN"/>
        </w:rPr>
        <w:t>.</w:t>
      </w:r>
      <w:r>
        <w:rPr>
          <w:rFonts w:hint="eastAsia"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将根据各比选供应商</w:t>
      </w:r>
      <w:r>
        <w:rPr>
          <w:rFonts w:hint="eastAsia" w:ascii="微软雅黑" w:hAnsi="微软雅黑" w:eastAsia="微软雅黑"/>
          <w:szCs w:val="21"/>
          <w:lang w:val="en-US" w:eastAsia="zh-CN"/>
        </w:rPr>
        <w:t>报价</w:t>
      </w:r>
      <w:r>
        <w:rPr>
          <w:rFonts w:hint="eastAsia" w:ascii="微软雅黑" w:hAnsi="微软雅黑" w:eastAsia="微软雅黑"/>
          <w:szCs w:val="21"/>
        </w:rPr>
        <w:t>推荐</w:t>
      </w:r>
      <w:r>
        <w:rPr>
          <w:rFonts w:hint="eastAsia" w:ascii="微软雅黑" w:hAnsi="微软雅黑" w:eastAsia="微软雅黑"/>
          <w:szCs w:val="21"/>
          <w:lang w:val="en-US" w:eastAsia="zh-CN"/>
        </w:rPr>
        <w:t>最低</w:t>
      </w:r>
      <w:r>
        <w:rPr>
          <w:rFonts w:hint="eastAsia" w:ascii="微软雅黑" w:hAnsi="微软雅黑" w:eastAsia="微软雅黑"/>
          <w:szCs w:val="21"/>
        </w:rPr>
        <w:t>的单位为本项目的中选候选供应商。</w:t>
      </w:r>
    </w:p>
    <w:p w14:paraId="27E921E9">
      <w:pPr>
        <w:adjustRightInd w:val="0"/>
        <w:snapToGrid w:val="0"/>
        <w:spacing w:line="480" w:lineRule="exact"/>
        <w:ind w:left="618" w:hanging="630" w:hangingChars="300"/>
        <w:rPr>
          <w:rFonts w:ascii="微软雅黑" w:hAnsi="微软雅黑" w:eastAsia="微软雅黑"/>
          <w:szCs w:val="21"/>
        </w:rPr>
      </w:pPr>
    </w:p>
    <w:p w14:paraId="3DE42225">
      <w:pPr>
        <w:rPr>
          <w:rFonts w:ascii="微软雅黑" w:hAnsi="微软雅黑" w:eastAsia="微软雅黑"/>
          <w:b/>
          <w:bCs/>
          <w:sz w:val="28"/>
          <w:szCs w:val="28"/>
        </w:rPr>
      </w:pPr>
      <w:bookmarkStart w:id="41" w:name="_Toc24455235"/>
      <w:bookmarkStart w:id="42" w:name="_Toc68963466"/>
      <w:bookmarkStart w:id="43" w:name="_Toc10213432"/>
      <w:bookmarkStart w:id="44" w:name="_Toc24456368"/>
      <w:bookmarkStart w:id="45" w:name="_Toc24083815"/>
      <w:bookmarkStart w:id="46" w:name="_Toc24711813"/>
      <w:bookmarkStart w:id="47" w:name="_Toc33340840"/>
      <w:r>
        <w:rPr>
          <w:rFonts w:ascii="微软雅黑" w:hAnsi="微软雅黑" w:eastAsia="微软雅黑"/>
          <w:sz w:val="28"/>
          <w:szCs w:val="28"/>
        </w:rPr>
        <w:br w:type="page"/>
      </w:r>
    </w:p>
    <w:p w14:paraId="28D7B79A">
      <w:pPr>
        <w:pStyle w:val="3"/>
        <w:spacing w:line="480" w:lineRule="auto"/>
        <w:rPr>
          <w:rFonts w:ascii="微软雅黑" w:hAnsi="微软雅黑" w:eastAsia="微软雅黑"/>
          <w:sz w:val="28"/>
          <w:szCs w:val="28"/>
        </w:rPr>
      </w:pPr>
      <w:bookmarkStart w:id="48" w:name="_Toc19357"/>
      <w:r>
        <w:rPr>
          <w:rFonts w:hint="eastAsia" w:ascii="微软雅黑" w:hAnsi="微软雅黑" w:eastAsia="微软雅黑"/>
          <w:sz w:val="28"/>
          <w:szCs w:val="28"/>
        </w:rPr>
        <w:t>六、合同的授予</w:t>
      </w:r>
      <w:bookmarkEnd w:id="41"/>
      <w:bookmarkEnd w:id="42"/>
      <w:bookmarkEnd w:id="43"/>
      <w:bookmarkEnd w:id="44"/>
      <w:bookmarkEnd w:id="45"/>
      <w:bookmarkEnd w:id="46"/>
      <w:bookmarkEnd w:id="47"/>
      <w:bookmarkEnd w:id="48"/>
    </w:p>
    <w:p w14:paraId="2EE5682C">
      <w:pPr>
        <w:adjustRightInd w:val="0"/>
        <w:snapToGrid w:val="0"/>
        <w:spacing w:line="480" w:lineRule="exact"/>
        <w:ind w:firstLine="420" w:firstLineChars="200"/>
        <w:rPr>
          <w:rFonts w:ascii="微软雅黑" w:hAnsi="微软雅黑" w:eastAsia="微软雅黑"/>
          <w:b/>
          <w:szCs w:val="21"/>
        </w:rPr>
      </w:pPr>
      <w:r>
        <w:rPr>
          <w:rFonts w:hint="eastAsia" w:ascii="微软雅黑" w:hAnsi="微软雅黑" w:eastAsia="微软雅黑"/>
          <w:b/>
          <w:szCs w:val="21"/>
        </w:rPr>
        <w:t>24</w:t>
      </w:r>
      <w:r>
        <w:rPr>
          <w:rFonts w:hint="eastAsia" w:ascii="微软雅黑" w:hAnsi="微软雅黑" w:eastAsia="微软雅黑"/>
          <w:b/>
          <w:szCs w:val="21"/>
          <w:lang w:val="en-US" w:eastAsia="zh-CN"/>
        </w:rPr>
        <w:t xml:space="preserve">. </w:t>
      </w:r>
      <w:r>
        <w:rPr>
          <w:rFonts w:hint="eastAsia" w:ascii="微软雅黑" w:hAnsi="微软雅黑" w:eastAsia="微软雅黑"/>
          <w:b/>
          <w:szCs w:val="21"/>
        </w:rPr>
        <w:t>合同授予的条件</w:t>
      </w:r>
    </w:p>
    <w:p w14:paraId="40A46C7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24</w:t>
      </w:r>
      <w:r>
        <w:rPr>
          <w:rFonts w:hint="eastAsia" w:ascii="微软雅黑" w:hAnsi="微软雅黑" w:eastAsia="微软雅黑"/>
          <w:szCs w:val="21"/>
          <w:lang w:val="en-US" w:eastAsia="zh-CN"/>
        </w:rPr>
        <w:t>.</w:t>
      </w:r>
      <w:r>
        <w:rPr>
          <w:rFonts w:hint="eastAsia" w:ascii="微软雅黑" w:hAnsi="微软雅黑" w:eastAsia="微软雅黑"/>
          <w:szCs w:val="21"/>
        </w:rPr>
        <w:t>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采购人将把合同授予按本须知第</w:t>
      </w:r>
      <w:r>
        <w:rPr>
          <w:rFonts w:hint="eastAsia" w:ascii="微软雅黑" w:hAnsi="微软雅黑" w:eastAsia="微软雅黑"/>
          <w:szCs w:val="21"/>
          <w:u w:val="single"/>
        </w:rPr>
        <w:t>23</w:t>
      </w:r>
      <w:r>
        <w:rPr>
          <w:rFonts w:hint="eastAsia" w:ascii="微软雅黑" w:hAnsi="微软雅黑" w:eastAsia="微软雅黑"/>
          <w:szCs w:val="21"/>
        </w:rPr>
        <w:t>条规定比选出的比选供应商。</w:t>
      </w:r>
    </w:p>
    <w:p w14:paraId="271DBFC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24</w:t>
      </w:r>
      <w:r>
        <w:rPr>
          <w:rFonts w:hint="eastAsia" w:ascii="微软雅黑" w:hAnsi="微软雅黑" w:eastAsia="微软雅黑"/>
          <w:szCs w:val="21"/>
          <w:lang w:val="en-US" w:eastAsia="zh-CN"/>
        </w:rPr>
        <w:t>.</w:t>
      </w:r>
      <w:r>
        <w:rPr>
          <w:rFonts w:hint="eastAsia"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采购人不承诺将合同授予报价最低的比选供应商。</w:t>
      </w:r>
    </w:p>
    <w:p w14:paraId="723632E8">
      <w:pPr>
        <w:adjustRightInd w:val="0"/>
        <w:snapToGrid w:val="0"/>
        <w:spacing w:line="480" w:lineRule="exact"/>
        <w:ind w:firstLine="420" w:firstLineChars="200"/>
        <w:rPr>
          <w:rFonts w:ascii="微软雅黑" w:hAnsi="微软雅黑" w:eastAsia="微软雅黑"/>
          <w:b/>
          <w:szCs w:val="21"/>
        </w:rPr>
      </w:pPr>
      <w:r>
        <w:rPr>
          <w:rFonts w:hint="eastAsia" w:ascii="微软雅黑" w:hAnsi="微软雅黑" w:eastAsia="微软雅黑"/>
          <w:b/>
          <w:szCs w:val="21"/>
        </w:rPr>
        <w:t>25. 接受和拒绝比选的权利</w:t>
      </w:r>
    </w:p>
    <w:p w14:paraId="4C238B1D">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在中选通知书发出之前，采购人有权接受或拒绝任何比选，宣布无效或拒绝所有比选，并对由此而引起的对比选供应商的影响不承担责任，也不解释原因。</w:t>
      </w:r>
    </w:p>
    <w:p w14:paraId="07F61A2D">
      <w:pPr>
        <w:numPr>
          <w:ilvl w:val="0"/>
          <w:numId w:val="0"/>
        </w:numPr>
        <w:adjustRightInd w:val="0"/>
        <w:snapToGrid w:val="0"/>
        <w:spacing w:line="480" w:lineRule="exact"/>
        <w:ind w:left="494" w:leftChars="200" w:hanging="74" w:hangingChars="35"/>
        <w:rPr>
          <w:rFonts w:ascii="微软雅黑" w:hAnsi="微软雅黑" w:eastAsia="微软雅黑"/>
          <w:b/>
          <w:szCs w:val="21"/>
        </w:rPr>
      </w:pPr>
      <w:r>
        <w:rPr>
          <w:rFonts w:hint="default" w:ascii="微软雅黑" w:hAnsi="微软雅黑" w:eastAsia="微软雅黑" w:cs="Times New Roman"/>
          <w:b/>
          <w:kern w:val="2"/>
          <w:sz w:val="21"/>
          <w:szCs w:val="21"/>
          <w:lang w:val="en-US" w:eastAsia="zh-CN" w:bidi="ar-SA"/>
        </w:rPr>
        <w:t>26．</w:t>
      </w:r>
      <w:r>
        <w:rPr>
          <w:rFonts w:hint="eastAsia" w:ascii="微软雅黑" w:hAnsi="微软雅黑" w:eastAsia="微软雅黑"/>
          <w:b/>
          <w:szCs w:val="21"/>
        </w:rPr>
        <w:t>中选通知书</w:t>
      </w:r>
    </w:p>
    <w:p w14:paraId="1C5F1C95">
      <w:pPr>
        <w:adjustRightInd w:val="0"/>
        <w:snapToGrid w:val="0"/>
        <w:spacing w:line="480" w:lineRule="exact"/>
        <w:ind w:left="525" w:leftChars="200" w:hanging="105" w:hangingChars="50"/>
        <w:rPr>
          <w:rFonts w:ascii="微软雅黑" w:hAnsi="微软雅黑" w:eastAsia="微软雅黑"/>
          <w:szCs w:val="21"/>
        </w:rPr>
      </w:pPr>
      <w:r>
        <w:rPr>
          <w:rFonts w:hint="eastAsia" w:ascii="微软雅黑" w:hAnsi="微软雅黑" w:eastAsia="微软雅黑"/>
          <w:szCs w:val="21"/>
        </w:rPr>
        <w:t>26</w:t>
      </w:r>
      <w:r>
        <w:rPr>
          <w:rFonts w:hint="eastAsia" w:ascii="微软雅黑" w:hAnsi="微软雅黑" w:eastAsia="微软雅黑"/>
          <w:szCs w:val="21"/>
          <w:lang w:val="en-US" w:eastAsia="zh-CN"/>
        </w:rPr>
        <w:t>.</w:t>
      </w:r>
      <w:r>
        <w:rPr>
          <w:rFonts w:hint="eastAsia" w:ascii="微软雅黑" w:hAnsi="微软雅黑" w:eastAsia="微软雅黑"/>
          <w:szCs w:val="21"/>
        </w:rPr>
        <w:t>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评审结束后，采购人在比选响应文件有效期截止前向中选供应商发出《中选通知书》。</w:t>
      </w:r>
    </w:p>
    <w:p w14:paraId="58AAA0D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26</w:t>
      </w:r>
      <w:r>
        <w:rPr>
          <w:rFonts w:hint="eastAsia" w:ascii="微软雅黑" w:hAnsi="微软雅黑" w:eastAsia="微软雅黑"/>
          <w:szCs w:val="21"/>
          <w:lang w:val="en-US" w:eastAsia="zh-CN"/>
        </w:rPr>
        <w:t>.</w:t>
      </w:r>
      <w:r>
        <w:rPr>
          <w:rFonts w:hint="eastAsia"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《中选通知书》是合同文件的组成部分。</w:t>
      </w:r>
    </w:p>
    <w:p w14:paraId="52D21E9C">
      <w:pPr>
        <w:numPr>
          <w:ilvl w:val="0"/>
          <w:numId w:val="0"/>
        </w:numPr>
        <w:adjustRightInd w:val="0"/>
        <w:snapToGrid w:val="0"/>
        <w:spacing w:line="480" w:lineRule="exact"/>
        <w:ind w:left="494" w:leftChars="200" w:hanging="74" w:hangingChars="35"/>
        <w:rPr>
          <w:rFonts w:ascii="微软雅黑" w:hAnsi="微软雅黑" w:eastAsia="微软雅黑"/>
          <w:b/>
          <w:bCs/>
          <w:szCs w:val="21"/>
        </w:rPr>
      </w:pPr>
      <w:r>
        <w:rPr>
          <w:rFonts w:hint="default" w:ascii="微软雅黑" w:hAnsi="微软雅黑" w:eastAsia="微软雅黑" w:cs="Times New Roman"/>
          <w:b/>
          <w:bCs/>
          <w:kern w:val="2"/>
          <w:sz w:val="21"/>
          <w:szCs w:val="21"/>
          <w:lang w:val="en-US" w:eastAsia="zh-CN" w:bidi="ar-SA"/>
        </w:rPr>
        <w:t>27．</w:t>
      </w:r>
      <w:r>
        <w:rPr>
          <w:rFonts w:hint="eastAsia" w:ascii="微软雅黑" w:hAnsi="微软雅黑" w:eastAsia="微软雅黑"/>
          <w:b/>
          <w:bCs/>
          <w:szCs w:val="21"/>
        </w:rPr>
        <w:t>签订合同</w:t>
      </w:r>
    </w:p>
    <w:p w14:paraId="045BFCE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27</w:t>
      </w:r>
      <w:r>
        <w:rPr>
          <w:rFonts w:hint="eastAsia" w:ascii="微软雅黑" w:hAnsi="微软雅黑" w:eastAsia="微软雅黑"/>
          <w:szCs w:val="21"/>
          <w:lang w:val="en-US" w:eastAsia="zh-CN"/>
        </w:rPr>
        <w:t>.</w:t>
      </w:r>
      <w:r>
        <w:rPr>
          <w:rFonts w:hint="eastAsia" w:ascii="微软雅黑" w:hAnsi="微软雅黑" w:eastAsia="微软雅黑"/>
          <w:szCs w:val="21"/>
        </w:rPr>
        <w:t>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中选供应商根据比选文件和中选人的比选响应文件与采购人签订</w:t>
      </w:r>
      <w:r>
        <w:rPr>
          <w:rFonts w:hint="eastAsia" w:ascii="微软雅黑" w:hAnsi="微软雅黑" w:eastAsia="微软雅黑"/>
          <w:szCs w:val="21"/>
          <w:lang w:val="en-US" w:eastAsia="zh-CN"/>
        </w:rPr>
        <w:t>项目</w:t>
      </w:r>
      <w:r>
        <w:rPr>
          <w:rFonts w:hint="eastAsia" w:ascii="微软雅黑" w:hAnsi="微软雅黑" w:eastAsia="微软雅黑"/>
          <w:szCs w:val="21"/>
        </w:rPr>
        <w:t>合同，采购人和中选供应商不得另行订立背离合同实质性内容的其它协议。</w:t>
      </w:r>
    </w:p>
    <w:p w14:paraId="0C1041DF">
      <w:pPr>
        <w:bidi w:val="0"/>
        <w:jc w:val="center"/>
        <w:rPr>
          <w:rFonts w:ascii="微软雅黑" w:hAnsi="微软雅黑" w:eastAsia="微软雅黑" w:cs="微软雅黑"/>
          <w:bCs w:val="0"/>
          <w:kern w:val="2"/>
          <w:sz w:val="21"/>
          <w:szCs w:val="21"/>
        </w:rPr>
      </w:pPr>
      <w:r>
        <w:rPr>
          <w:rFonts w:ascii="微软雅黑" w:hAnsi="微软雅黑" w:eastAsia="微软雅黑"/>
          <w:sz w:val="21"/>
          <w:szCs w:val="21"/>
        </w:rPr>
        <w:br w:type="page"/>
      </w:r>
      <w:bookmarkStart w:id="49" w:name="_Toc14093"/>
      <w:bookmarkStart w:id="50" w:name="_Toc68963468"/>
      <w:r>
        <w:rPr>
          <w:rFonts w:hint="eastAsia" w:ascii="微软雅黑" w:hAnsi="微软雅黑" w:eastAsia="微软雅黑" w:cs="Times New Roman"/>
          <w:b/>
          <w:bCs/>
          <w:kern w:val="2"/>
          <w:sz w:val="28"/>
          <w:szCs w:val="28"/>
          <w:lang w:val="en-US" w:eastAsia="zh-CN" w:bidi="ar-SA"/>
        </w:rPr>
        <w:t>第三章 合同格式</w:t>
      </w:r>
      <w:bookmarkEnd w:id="49"/>
    </w:p>
    <w:bookmarkEnd w:id="50"/>
    <w:p w14:paraId="21676069">
      <w:pPr>
        <w:keepLines w:val="0"/>
        <w:pageBreakBefore w:val="0"/>
        <w:kinsoku/>
        <w:wordWrap/>
        <w:overflowPunct/>
        <w:topLinePunct w:val="0"/>
        <w:autoSpaceDE/>
        <w:autoSpaceDN/>
        <w:bidi w:val="0"/>
        <w:adjustRightInd w:val="0"/>
        <w:snapToGrid w:val="0"/>
        <w:spacing w:line="480" w:lineRule="exact"/>
        <w:jc w:val="center"/>
        <w:textAlignment w:val="auto"/>
        <w:rPr>
          <w:rFonts w:hint="eastAsia" w:ascii="微软雅黑" w:hAnsi="微软雅黑" w:eastAsia="微软雅黑" w:cs="Times New Roman"/>
          <w:b/>
          <w:bCs/>
          <w:kern w:val="2"/>
          <w:sz w:val="28"/>
          <w:szCs w:val="28"/>
          <w:lang w:val="en-US" w:eastAsia="zh-CN" w:bidi="ar-SA"/>
        </w:rPr>
      </w:pPr>
      <w:bookmarkStart w:id="51" w:name="_Hlk67411488"/>
      <w:bookmarkStart w:id="52" w:name="_Hlk58226073"/>
    </w:p>
    <w:p w14:paraId="48B69AE5">
      <w:pPr>
        <w:keepLines w:val="0"/>
        <w:pageBreakBefore w:val="0"/>
        <w:kinsoku/>
        <w:wordWrap/>
        <w:overflowPunct/>
        <w:topLinePunct w:val="0"/>
        <w:autoSpaceDE/>
        <w:autoSpaceDN/>
        <w:bidi w:val="0"/>
        <w:adjustRightInd w:val="0"/>
        <w:snapToGrid w:val="0"/>
        <w:spacing w:line="480" w:lineRule="exact"/>
        <w:jc w:val="center"/>
        <w:textAlignment w:val="auto"/>
        <w:rPr>
          <w:rFonts w:hint="eastAsia" w:ascii="微软雅黑" w:hAnsi="微软雅黑" w:eastAsia="微软雅黑"/>
          <w:szCs w:val="21"/>
        </w:rPr>
      </w:pPr>
      <w:r>
        <w:rPr>
          <w:rFonts w:hint="eastAsia" w:ascii="微软雅黑" w:hAnsi="微软雅黑" w:eastAsia="微软雅黑" w:cs="Times New Roman"/>
          <w:b/>
          <w:bCs/>
          <w:kern w:val="2"/>
          <w:sz w:val="28"/>
          <w:szCs w:val="28"/>
          <w:lang w:val="en-US" w:eastAsia="zh-CN" w:bidi="ar-SA"/>
        </w:rPr>
        <w:t>院本部和国家质检基地消防设施维保项目合同</w:t>
      </w:r>
    </w:p>
    <w:p w14:paraId="1FDD8E4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sz w:val="24"/>
          <w:szCs w:val="24"/>
        </w:rPr>
      </w:pPr>
    </w:p>
    <w:p w14:paraId="06BA071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甲方：重庆市计量质量检测研究院</w:t>
      </w:r>
    </w:p>
    <w:p w14:paraId="21C5174E">
      <w:pPr>
        <w:adjustRightInd w:val="0"/>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 xml:space="preserve">乙方： </w:t>
      </w:r>
      <w:r>
        <w:rPr>
          <w:rFonts w:hint="eastAsia" w:ascii="微软雅黑" w:hAnsi="微软雅黑" w:eastAsia="微软雅黑"/>
          <w:szCs w:val="21"/>
          <w:lang w:val="en-US" w:eastAsia="zh-CN"/>
        </w:rPr>
        <w:t xml:space="preserve">            </w:t>
      </w:r>
    </w:p>
    <w:p w14:paraId="30AE982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乙双方根据《中华人民共和国民法典》、《中华人民共和国消防法》和《重庆市消防条例》等规定，为了提高现代消防系统抗御火灾能力，及时排除消防系统的隐患，使消防系统保持正常的工作状态，充分发挥其应有的作用，有效的预防火灾事故和减少火灾损失，依据《建筑消防设施的维护管理》（GB25201-2010）的标准，经平等协商达成如下协议，双方共同遵守：</w:t>
      </w:r>
    </w:p>
    <w:p w14:paraId="7ADEF8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b/>
          <w:bCs/>
          <w:szCs w:val="21"/>
          <w:lang w:val="en-US" w:eastAsia="zh-CN"/>
        </w:rPr>
        <w:t>一、</w:t>
      </w:r>
      <w:r>
        <w:rPr>
          <w:rFonts w:hint="eastAsia" w:ascii="微软雅黑" w:hAnsi="微软雅黑" w:eastAsia="微软雅黑"/>
          <w:b/>
          <w:bCs/>
          <w:szCs w:val="21"/>
        </w:rPr>
        <w:t>维护保养建筑范围：</w:t>
      </w:r>
    </w:p>
    <w:p w14:paraId="310AF7B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项目名称：院本部和国家质检基地消防设施维保项目</w:t>
      </w:r>
    </w:p>
    <w:p w14:paraId="67ACC83F">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项目地址：重庆市渝北区杨柳路1号、3号</w:t>
      </w:r>
      <w:r>
        <w:rPr>
          <w:rFonts w:hint="eastAsia" w:ascii="微软雅黑" w:hAnsi="微软雅黑" w:eastAsia="微软雅黑"/>
          <w:szCs w:val="21"/>
          <w:lang w:eastAsia="zh-CN"/>
        </w:rPr>
        <w:t>，九龙坡区金凤镇新金大道9号</w:t>
      </w:r>
    </w:p>
    <w:p w14:paraId="27E629F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面 积：</w:t>
      </w:r>
      <w:r>
        <w:rPr>
          <w:rFonts w:hint="eastAsia" w:ascii="微软雅黑" w:hAnsi="微软雅黑" w:eastAsia="微软雅黑"/>
          <w:szCs w:val="21"/>
          <w:lang w:val="en-US" w:eastAsia="zh-CN"/>
        </w:rPr>
        <w:t>113229.06</w:t>
      </w:r>
      <w:r>
        <w:rPr>
          <w:rFonts w:hint="eastAsia" w:ascii="微软雅黑" w:hAnsi="微软雅黑" w:eastAsia="微软雅黑"/>
          <w:szCs w:val="21"/>
        </w:rPr>
        <w:t>平方米</w:t>
      </w:r>
    </w:p>
    <w:p w14:paraId="7437B11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建筑性质及类别：（选填：民用/公共/工业建筑）</w:t>
      </w:r>
    </w:p>
    <w:p w14:paraId="4773991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维保建筑范围如下：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9"/>
        <w:gridCol w:w="2073"/>
        <w:gridCol w:w="2933"/>
      </w:tblGrid>
      <w:tr w14:paraId="165B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499" w:type="dxa"/>
            <w:noWrap w:val="0"/>
            <w:vAlign w:val="center"/>
          </w:tcPr>
          <w:p w14:paraId="179A54B2">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主要建筑名称</w:t>
            </w:r>
          </w:p>
        </w:tc>
        <w:tc>
          <w:tcPr>
            <w:tcW w:w="2073" w:type="dxa"/>
            <w:noWrap w:val="0"/>
            <w:vAlign w:val="center"/>
          </w:tcPr>
          <w:p w14:paraId="6D84304C">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性质及类别</w:t>
            </w:r>
          </w:p>
        </w:tc>
        <w:tc>
          <w:tcPr>
            <w:tcW w:w="2933" w:type="dxa"/>
            <w:noWrap w:val="0"/>
            <w:vAlign w:val="center"/>
          </w:tcPr>
          <w:p w14:paraId="56E8DA26">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建筑面积（㎡）</w:t>
            </w:r>
          </w:p>
        </w:tc>
      </w:tr>
      <w:tr w14:paraId="3326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499" w:type="dxa"/>
            <w:noWrap w:val="0"/>
            <w:vAlign w:val="center"/>
          </w:tcPr>
          <w:p w14:paraId="3D23F4C5">
            <w:pPr>
              <w:adjustRightInd w:val="0"/>
              <w:snapToGrid w:val="0"/>
              <w:spacing w:line="480" w:lineRule="exact"/>
              <w:rPr>
                <w:rFonts w:hint="eastAsia" w:ascii="微软雅黑" w:hAnsi="微软雅黑" w:eastAsia="微软雅黑"/>
                <w:szCs w:val="21"/>
                <w:lang w:val="en-US" w:eastAsia="zh-CN"/>
              </w:rPr>
            </w:pPr>
            <w:r>
              <w:rPr>
                <w:rFonts w:hint="eastAsia" w:ascii="微软雅黑" w:hAnsi="微软雅黑" w:eastAsia="微软雅黑"/>
                <w:szCs w:val="21"/>
              </w:rPr>
              <w:t>重庆市计量质量检测研究院</w:t>
            </w:r>
            <w:r>
              <w:rPr>
                <w:rFonts w:hint="eastAsia" w:ascii="微软雅黑" w:hAnsi="微软雅黑" w:eastAsia="微软雅黑"/>
                <w:szCs w:val="21"/>
                <w:lang w:val="en-US" w:eastAsia="zh-CN"/>
              </w:rPr>
              <w:t>院本部</w:t>
            </w:r>
          </w:p>
        </w:tc>
        <w:tc>
          <w:tcPr>
            <w:tcW w:w="2073" w:type="dxa"/>
            <w:noWrap w:val="0"/>
            <w:vAlign w:val="center"/>
          </w:tcPr>
          <w:p w14:paraId="461E0834">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公共</w:t>
            </w:r>
          </w:p>
        </w:tc>
        <w:tc>
          <w:tcPr>
            <w:tcW w:w="2933" w:type="dxa"/>
            <w:noWrap w:val="0"/>
            <w:vAlign w:val="center"/>
          </w:tcPr>
          <w:p w14:paraId="763A1E1B">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38858</w:t>
            </w:r>
          </w:p>
        </w:tc>
      </w:tr>
      <w:tr w14:paraId="15F2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499" w:type="dxa"/>
            <w:noWrap w:val="0"/>
            <w:vAlign w:val="center"/>
          </w:tcPr>
          <w:p w14:paraId="1A2F9338">
            <w:pPr>
              <w:adjustRightInd w:val="0"/>
              <w:snapToGrid w:val="0"/>
              <w:spacing w:line="48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国家质检基地</w:t>
            </w:r>
          </w:p>
        </w:tc>
        <w:tc>
          <w:tcPr>
            <w:tcW w:w="2073" w:type="dxa"/>
            <w:noWrap w:val="0"/>
            <w:vAlign w:val="center"/>
          </w:tcPr>
          <w:p w14:paraId="0BFDF22A">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公共</w:t>
            </w:r>
          </w:p>
        </w:tc>
        <w:tc>
          <w:tcPr>
            <w:tcW w:w="2933" w:type="dxa"/>
            <w:noWrap w:val="0"/>
            <w:vAlign w:val="center"/>
          </w:tcPr>
          <w:p w14:paraId="29F142F2">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74371.06</w:t>
            </w:r>
          </w:p>
        </w:tc>
      </w:tr>
      <w:tr w14:paraId="2381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99" w:type="dxa"/>
            <w:noWrap w:val="0"/>
            <w:vAlign w:val="center"/>
          </w:tcPr>
          <w:p w14:paraId="20BFC766">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合  计</w:t>
            </w:r>
          </w:p>
        </w:tc>
        <w:tc>
          <w:tcPr>
            <w:tcW w:w="2073" w:type="dxa"/>
            <w:noWrap w:val="0"/>
            <w:vAlign w:val="center"/>
          </w:tcPr>
          <w:p w14:paraId="6F8E63B3">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w:t>
            </w:r>
          </w:p>
        </w:tc>
        <w:tc>
          <w:tcPr>
            <w:tcW w:w="2933" w:type="dxa"/>
            <w:noWrap w:val="0"/>
            <w:vAlign w:val="center"/>
          </w:tcPr>
          <w:p w14:paraId="57E28F9C">
            <w:pPr>
              <w:adjustRightInd w:val="0"/>
              <w:snapToGrid w:val="0"/>
              <w:spacing w:line="48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113229.06</w:t>
            </w:r>
          </w:p>
        </w:tc>
      </w:tr>
    </w:tbl>
    <w:p w14:paraId="7749868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b/>
          <w:bCs/>
          <w:szCs w:val="21"/>
          <w:lang w:val="en-US" w:eastAsia="zh-CN"/>
        </w:rPr>
        <w:t>二、</w:t>
      </w:r>
      <w:r>
        <w:rPr>
          <w:rFonts w:hint="eastAsia" w:ascii="微软雅黑" w:hAnsi="微软雅黑" w:eastAsia="微软雅黑"/>
          <w:b/>
          <w:bCs/>
          <w:szCs w:val="21"/>
        </w:rPr>
        <w:t>维护保养消防设施范围：</w:t>
      </w:r>
      <w:r>
        <w:rPr>
          <w:rFonts w:hint="eastAsia" w:ascii="微软雅黑" w:hAnsi="微软雅黑" w:eastAsia="微软雅黑"/>
          <w:szCs w:val="21"/>
        </w:rPr>
        <w:t>乙方负责下列第（1、2、3、4、8、9、12、13（只负责消防主电和备电源切换，不负责配电房和柴油发电机供电系统）</w:t>
      </w:r>
      <w:r>
        <w:rPr>
          <w:rFonts w:hint="eastAsia" w:ascii="微软雅黑" w:hAnsi="微软雅黑" w:eastAsia="微软雅黑"/>
          <w:szCs w:val="21"/>
          <w:lang w:eastAsia="zh-CN"/>
        </w:rPr>
        <w:t>、</w:t>
      </w:r>
      <w:r>
        <w:rPr>
          <w:rFonts w:hint="eastAsia" w:ascii="微软雅黑" w:hAnsi="微软雅黑" w:eastAsia="微软雅黑"/>
          <w:szCs w:val="21"/>
        </w:rPr>
        <w:t>15（消防电梯、灭火器）项建筑消防设施的维护保养技术服务。</w:t>
      </w:r>
    </w:p>
    <w:p w14:paraId="7C1F7E9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1.火灾自动报警及联动控制系统；</w:t>
      </w:r>
    </w:p>
    <w:p w14:paraId="5C73B60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2.室内、外消火栓给水系统；</w:t>
      </w:r>
    </w:p>
    <w:p w14:paraId="3EE6F22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3.自动喷水灭火系统；</w:t>
      </w:r>
    </w:p>
    <w:p w14:paraId="257BE04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4.气体灭火系统；</w:t>
      </w:r>
    </w:p>
    <w:p w14:paraId="5EB358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5.泡沫灭火系统；</w:t>
      </w:r>
    </w:p>
    <w:p w14:paraId="70AB088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6.细水雾灭火系统；</w:t>
      </w:r>
    </w:p>
    <w:p w14:paraId="658FE94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7.水喷雾灭火系统设</w:t>
      </w:r>
    </w:p>
    <w:p w14:paraId="3BC3FDC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8.防排烟系统；</w:t>
      </w:r>
    </w:p>
    <w:p w14:paraId="43A5F9B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9.防火分隔设施（防火卷帘、防火门）；</w:t>
      </w:r>
    </w:p>
    <w:p w14:paraId="47C8689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10.电气火灾监控系统；</w:t>
      </w:r>
    </w:p>
    <w:p w14:paraId="5C984E5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11.消防设备电源监控系统；</w:t>
      </w:r>
    </w:p>
    <w:p w14:paraId="34710D0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12.消防通讯系统及应急广播系统；</w:t>
      </w:r>
    </w:p>
    <w:p w14:paraId="2E916CE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13.消防设施供配电设施； </w:t>
      </w:r>
    </w:p>
    <w:p w14:paraId="683EC3A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14.可燃气体探测报警系统；</w:t>
      </w:r>
    </w:p>
    <w:p w14:paraId="0DE03E7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15.其他建筑消防设施：消防电梯、灭火器。</w:t>
      </w:r>
    </w:p>
    <w:p w14:paraId="1598B5B6">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三、</w:t>
      </w:r>
      <w:r>
        <w:rPr>
          <w:rFonts w:hint="eastAsia" w:ascii="微软雅黑" w:hAnsi="微软雅黑" w:eastAsia="微软雅黑"/>
          <w:b/>
          <w:bCs/>
          <w:szCs w:val="21"/>
        </w:rPr>
        <w:t>护保养依据：</w:t>
      </w:r>
      <w:r>
        <w:rPr>
          <w:rFonts w:hint="eastAsia" w:ascii="微软雅黑" w:hAnsi="微软雅黑" w:eastAsia="微软雅黑"/>
          <w:szCs w:val="21"/>
        </w:rPr>
        <w:t>《建筑消防设施的维护管理》（GB25201-2010）</w:t>
      </w:r>
    </w:p>
    <w:p w14:paraId="3274C0E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四、</w:t>
      </w:r>
      <w:r>
        <w:rPr>
          <w:rFonts w:hint="eastAsia" w:ascii="微软雅黑" w:hAnsi="微软雅黑" w:eastAsia="微软雅黑"/>
          <w:b/>
          <w:bCs/>
          <w:szCs w:val="21"/>
        </w:rPr>
        <w:t>甲方的权利、义务：</w:t>
      </w:r>
    </w:p>
    <w:p w14:paraId="194A06E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有权核查乙方维护保养机构资质和现场维护保养人员执业资格。严格执行公安部61号令《机关、团体、企业、事业单位消防安全管理规定》。</w:t>
      </w:r>
    </w:p>
    <w:p w14:paraId="075C4CB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向乙方提供下列资料：消防系统安装竣工图（含编码图）、隐蔽工程记录、工程自检自测记录、系统运行（值班）记录、设备操作权限密码、通过消防验收（许可）或备案的证明文件和消防设计图。</w:t>
      </w:r>
    </w:p>
    <w:p w14:paraId="0EF0E4F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3.</w:t>
      </w:r>
      <w:r>
        <w:rPr>
          <w:rFonts w:hint="eastAsia" w:ascii="微软雅黑" w:hAnsi="微软雅黑" w:eastAsia="微软雅黑"/>
          <w:szCs w:val="21"/>
        </w:rPr>
        <w:t>所移交的消防系统应运行正常（修缮原系统至正常运行的，费用另计）；乙方到场开展消防设施维护保养时，应提供必要的协助。</w:t>
      </w:r>
    </w:p>
    <w:p w14:paraId="57B659F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4.</w:t>
      </w:r>
      <w:r>
        <w:rPr>
          <w:rFonts w:hint="eastAsia" w:ascii="微软雅黑" w:hAnsi="微软雅黑" w:eastAsia="微软雅黑"/>
          <w:szCs w:val="21"/>
        </w:rPr>
        <w:t>明确建筑消防设施的维护管理归口部门、管理人员及其工作职责，建立建筑消防设施值班、巡查、建档等制度。</w:t>
      </w:r>
    </w:p>
    <w:p w14:paraId="2BB3E3D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5.</w:t>
      </w:r>
      <w:r>
        <w:rPr>
          <w:rFonts w:hint="eastAsia" w:ascii="微软雅黑" w:hAnsi="微软雅黑" w:eastAsia="微软雅黑"/>
          <w:szCs w:val="21"/>
        </w:rPr>
        <w:t>负责消防设施系统的日常运行管理，按照《消防控制室通用技术要求》GB25506-2010，安排人员对消防设施进行日常巡查，发现问题后及时处理，不能处理的需及时通知乙方到场解决。</w:t>
      </w:r>
    </w:p>
    <w:p w14:paraId="32C712A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6.</w:t>
      </w:r>
      <w:r>
        <w:rPr>
          <w:rFonts w:hint="eastAsia" w:ascii="微软雅黑" w:hAnsi="微软雅黑" w:eastAsia="微软雅黑"/>
          <w:szCs w:val="21"/>
        </w:rPr>
        <w:t>保证疏散通道、安全出口的通畅，不圈占、挪用、遮挡消防设施，不擅自关停消防设施。</w:t>
      </w:r>
    </w:p>
    <w:p w14:paraId="76D6143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7.</w:t>
      </w:r>
      <w:r>
        <w:rPr>
          <w:rFonts w:hint="eastAsia" w:ascii="微软雅黑" w:hAnsi="微软雅黑" w:eastAsia="微软雅黑"/>
          <w:szCs w:val="21"/>
        </w:rPr>
        <w:t>管理好本单位的易燃物品，明确火灾危险区域等防火重点部位，严禁吸烟，值班人员，并做好相关标识。</w:t>
      </w:r>
    </w:p>
    <w:p w14:paraId="43986F8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8.</w:t>
      </w:r>
      <w:r>
        <w:rPr>
          <w:rFonts w:hint="eastAsia" w:ascii="微软雅黑" w:hAnsi="微软雅黑" w:eastAsia="微软雅黑"/>
          <w:szCs w:val="21"/>
        </w:rPr>
        <w:t>定期组织消防值班人员进行操作培训，掌握基本消防常识及操作技能；</w:t>
      </w:r>
    </w:p>
    <w:p w14:paraId="7CB32AC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9.</w:t>
      </w:r>
      <w:r>
        <w:rPr>
          <w:rFonts w:hint="eastAsia" w:ascii="微软雅黑" w:hAnsi="微软雅黑" w:eastAsia="微软雅黑"/>
          <w:szCs w:val="21"/>
        </w:rPr>
        <w:t>合同签订后乙方对维保范围内消防系统进行初查，对检查出来消防系统存在的问题及更换零配件产生的费用，甲方应予以解决及承担。</w:t>
      </w:r>
    </w:p>
    <w:p w14:paraId="7726EBF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10.</w:t>
      </w:r>
      <w:r>
        <w:rPr>
          <w:rFonts w:hint="eastAsia" w:ascii="微软雅黑" w:hAnsi="微软雅黑" w:eastAsia="微软雅黑"/>
          <w:szCs w:val="21"/>
        </w:rPr>
        <w:t>负责承担维保期间维修配件的更换费用及正常老化到达更换年限的器材更换费用。</w:t>
      </w:r>
    </w:p>
    <w:p w14:paraId="57DD37A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11.</w:t>
      </w:r>
      <w:r>
        <w:rPr>
          <w:rFonts w:hint="eastAsia" w:ascii="微软雅黑" w:hAnsi="微软雅黑" w:eastAsia="微软雅黑"/>
          <w:szCs w:val="21"/>
        </w:rPr>
        <w:t>对乙方在日常维保工作中发现重大问题需要甲方解决的，接到乙方出具书面报告后，甲方应签收回复并及时落实整改；对乙方出具的维保报告进行审核并签字确认。</w:t>
      </w:r>
    </w:p>
    <w:p w14:paraId="153E345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12.</w:t>
      </w:r>
      <w:r>
        <w:rPr>
          <w:rFonts w:hint="eastAsia" w:ascii="微软雅黑" w:hAnsi="微软雅黑" w:eastAsia="微软雅黑"/>
          <w:szCs w:val="21"/>
        </w:rPr>
        <w:t>为确保合同范围消防设施的正常运行，甲方在进行二次装修时，消防改造部分在同等条件下，可优先交付乙方进行安装及调试。消防设施停用时间超过24小时的，建筑消防设施使用管理单位应将情况向当地消防主管部门书面报告。</w:t>
      </w:r>
    </w:p>
    <w:p w14:paraId="1C004CB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13.</w:t>
      </w:r>
      <w:r>
        <w:rPr>
          <w:rFonts w:hint="eastAsia" w:ascii="微软雅黑" w:hAnsi="微软雅黑" w:eastAsia="微软雅黑"/>
          <w:szCs w:val="21"/>
        </w:rPr>
        <w:t>乙方初次维保时甲方向乙方提供合同范围消防报警主机及相关电气控制装置的操作密码。维保单位在第一次进场维保前，应对合同维保范围的所有消防设施进行全面测试。如因甲方原因，现场不能进行测试，导致在后期维保过程中出现问题以及所造成的损失，由甲方承担。对于测试所暴露出的问题，不在本维保合同维护范围之内。</w:t>
      </w:r>
    </w:p>
    <w:p w14:paraId="7886BC2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14.</w:t>
      </w:r>
      <w:r>
        <w:rPr>
          <w:rFonts w:hint="eastAsia" w:ascii="微软雅黑" w:hAnsi="微软雅黑" w:eastAsia="微软雅黑"/>
          <w:szCs w:val="21"/>
        </w:rPr>
        <w:t>按合同规定的金额和支付方式向乙方支付维修保养费。</w:t>
      </w:r>
    </w:p>
    <w:p w14:paraId="253FD60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15.</w:t>
      </w:r>
      <w:r>
        <w:rPr>
          <w:rFonts w:hint="eastAsia" w:ascii="微软雅黑" w:hAnsi="微软雅黑" w:eastAsia="微软雅黑"/>
          <w:szCs w:val="21"/>
        </w:rPr>
        <w:t>甲方在收到乙方提交的各类文件资料时有义务出具书面收讫凭证。</w:t>
      </w:r>
    </w:p>
    <w:p w14:paraId="512916C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6.</w:t>
      </w:r>
      <w:r>
        <w:rPr>
          <w:rFonts w:hint="eastAsia" w:ascii="微软雅黑" w:hAnsi="微软雅黑" w:eastAsia="微软雅黑"/>
          <w:szCs w:val="21"/>
        </w:rPr>
        <w:t>如乙方没有按规定及时维修消防系统故障或没有按要求定期进行维护检查并确保维修保养、检查记录资料准确完整的，甲方有权每次扣减维修保养费用100至300元。如果因此造成安全事故或甲方损失的，由乙方负责。</w:t>
      </w:r>
    </w:p>
    <w:p w14:paraId="496BDAB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7.</w:t>
      </w:r>
      <w:r>
        <w:rPr>
          <w:rFonts w:hint="eastAsia" w:ascii="微软雅黑" w:hAnsi="微软雅黑" w:eastAsia="微软雅黑"/>
          <w:szCs w:val="21"/>
        </w:rPr>
        <w:t>乙方若未按本合同约定履行义务，经甲方指出后拒不改正的，甲方有权解除本合同，乙方按本合同总金额的20%向甲方支付违约金，且甲方有权不支付乙方任何费用。</w:t>
      </w:r>
    </w:p>
    <w:p w14:paraId="0B0E5A86">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五、</w:t>
      </w:r>
      <w:r>
        <w:rPr>
          <w:rFonts w:hint="eastAsia" w:ascii="微软雅黑" w:hAnsi="微软雅黑" w:eastAsia="微软雅黑"/>
          <w:b/>
          <w:bCs/>
          <w:szCs w:val="21"/>
        </w:rPr>
        <w:t>乙方的权利、义务：</w:t>
      </w:r>
    </w:p>
    <w:p w14:paraId="7AE0B76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具备消防设施维护保养的相应资质、资格，依照法律法规、技术标准和执业准则，开展消防设施维护保养技术服务活动，对维护保养质量负责。</w:t>
      </w:r>
    </w:p>
    <w:p w14:paraId="436D04E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根据维护保养对象的具体情况，拟定具体的工作方案；本项目负责人  谢明滟；</w:t>
      </w:r>
      <w:r>
        <w:rPr>
          <w:rFonts w:hint="eastAsia" w:ascii="微软雅黑" w:hAnsi="微软雅黑" w:eastAsia="微软雅黑"/>
          <w:szCs w:val="21"/>
          <w:lang w:val="en-US" w:eastAsia="zh-CN"/>
        </w:rPr>
        <w:t>舒洪</w:t>
      </w:r>
      <w:r>
        <w:rPr>
          <w:rFonts w:hint="eastAsia" w:ascii="微软雅黑" w:hAnsi="微软雅黑" w:eastAsia="微软雅黑"/>
          <w:szCs w:val="21"/>
        </w:rPr>
        <w:t xml:space="preserve">  ，指定2名及以上有资质的执业人员负责实施。执业人员应当认真如实填写维护保养记录。</w:t>
      </w:r>
    </w:p>
    <w:p w14:paraId="29F3119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3.</w:t>
      </w:r>
      <w:r>
        <w:rPr>
          <w:rFonts w:hint="eastAsia" w:ascii="微软雅黑" w:hAnsi="微软雅黑" w:eastAsia="微软雅黑"/>
          <w:szCs w:val="21"/>
        </w:rPr>
        <w:t>按照合同期限内的建筑消防设施维护周期开展检查、维保、测试等技术服务。</w:t>
      </w:r>
    </w:p>
    <w:p w14:paraId="4E198B8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4.</w:t>
      </w:r>
      <w:r>
        <w:rPr>
          <w:rFonts w:hint="eastAsia" w:ascii="微软雅黑" w:hAnsi="微软雅黑" w:eastAsia="微软雅黑"/>
          <w:szCs w:val="21"/>
        </w:rPr>
        <w:t>及时向甲方出具真实、规范的维护保养记录或问题反馈意见书。</w:t>
      </w:r>
    </w:p>
    <w:p w14:paraId="717FD25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5.</w:t>
      </w:r>
      <w:r>
        <w:rPr>
          <w:rFonts w:hint="eastAsia" w:ascii="微软雅黑" w:hAnsi="微软雅黑" w:eastAsia="微软雅黑"/>
          <w:szCs w:val="21"/>
        </w:rPr>
        <w:t>不得转包、分包消防设施维护保养技术服务项目。</w:t>
      </w:r>
    </w:p>
    <w:p w14:paraId="48ACAB3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6.</w:t>
      </w:r>
      <w:r>
        <w:rPr>
          <w:rFonts w:hint="eastAsia" w:ascii="微软雅黑" w:hAnsi="微软雅黑" w:eastAsia="微软雅黑"/>
          <w:szCs w:val="21"/>
        </w:rPr>
        <w:t>制定建筑消防设施维护保养计划，定期维护保养本合同约定的建筑消防设施，排除潜在的故障。</w:t>
      </w:r>
    </w:p>
    <w:p w14:paraId="41B4E3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7.</w:t>
      </w:r>
      <w:r>
        <w:rPr>
          <w:rFonts w:hint="eastAsia" w:ascii="微软雅黑" w:hAnsi="微软雅黑" w:eastAsia="微软雅黑"/>
          <w:szCs w:val="21"/>
        </w:rPr>
        <w:t>在接到甲方消防设施故障的通知后应积极响应，一般故障次日到达现场处理，紧急故障当天接到电话通知后4小时内到达现场处理。</w:t>
      </w:r>
    </w:p>
    <w:p w14:paraId="0A5C503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8.</w:t>
      </w:r>
      <w:r>
        <w:rPr>
          <w:rFonts w:hint="eastAsia" w:ascii="微软雅黑" w:hAnsi="微软雅黑" w:eastAsia="微软雅黑"/>
          <w:szCs w:val="21"/>
        </w:rPr>
        <w:t>每月维保工作结束，向甲方提交当月的维保记录，每个季度提交季度测试报告。</w:t>
      </w:r>
    </w:p>
    <w:p w14:paraId="460704C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9.</w:t>
      </w:r>
      <w:r>
        <w:rPr>
          <w:rFonts w:hint="eastAsia" w:ascii="微软雅黑" w:hAnsi="微软雅黑" w:eastAsia="微软雅黑"/>
          <w:szCs w:val="21"/>
        </w:rPr>
        <w:t>每次处理突发故障后，向甲方提交故障处理记录。</w:t>
      </w:r>
    </w:p>
    <w:p w14:paraId="607E9A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10.</w:t>
      </w:r>
      <w:r>
        <w:rPr>
          <w:rFonts w:hint="eastAsia" w:ascii="微软雅黑" w:hAnsi="微软雅黑" w:eastAsia="微软雅黑"/>
          <w:szCs w:val="21"/>
        </w:rPr>
        <w:t>每年对消防设施进行一次全面的测试，确保消防设施的完好有效。</w:t>
      </w:r>
    </w:p>
    <w:p w14:paraId="7484F12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1.</w:t>
      </w:r>
      <w:r>
        <w:rPr>
          <w:rFonts w:hint="eastAsia" w:ascii="微软雅黑" w:hAnsi="微软雅黑" w:eastAsia="微软雅黑"/>
          <w:szCs w:val="21"/>
        </w:rPr>
        <w:t>根据甲方要求及安排，对甲方消防值班操作人员进行消防设施使用操作方面的培训，重点单位每年至少一次培训。</w:t>
      </w:r>
    </w:p>
    <w:p w14:paraId="3706B8F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2.</w:t>
      </w:r>
      <w:r>
        <w:rPr>
          <w:rFonts w:hint="eastAsia" w:ascii="微软雅黑" w:hAnsi="微软雅黑" w:eastAsia="微软雅黑"/>
          <w:szCs w:val="21"/>
        </w:rPr>
        <w:t>根据消防部门监督检查及甲方提出的要求，提交相关的消防设施维保记录文件；</w:t>
      </w:r>
    </w:p>
    <w:p w14:paraId="784B37B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13.</w:t>
      </w:r>
      <w:r>
        <w:rPr>
          <w:rFonts w:hint="eastAsia" w:ascii="微软雅黑" w:hAnsi="微软雅黑" w:eastAsia="微软雅黑"/>
          <w:szCs w:val="21"/>
        </w:rPr>
        <w:t>根据甲方的消防演练安排，积极参加甲方组织的消防演练活动，并发挥专业所长向甲方积极提供有关的建议。</w:t>
      </w:r>
    </w:p>
    <w:p w14:paraId="5F66C4F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4.</w:t>
      </w:r>
      <w:r>
        <w:rPr>
          <w:rFonts w:hint="eastAsia" w:ascii="微软雅黑" w:hAnsi="微软雅黑" w:eastAsia="微软雅黑"/>
          <w:szCs w:val="21"/>
        </w:rPr>
        <w:t>如甲方申报第三方年度检测，乙方应积极配合，并在年检前汇同甲方对消防设施进行全面的检查。</w:t>
      </w:r>
    </w:p>
    <w:p w14:paraId="7BFED43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5.</w:t>
      </w:r>
      <w:r>
        <w:rPr>
          <w:rFonts w:hint="eastAsia" w:ascii="微软雅黑" w:hAnsi="微软雅黑" w:eastAsia="微软雅黑"/>
          <w:szCs w:val="21"/>
        </w:rPr>
        <w:t>乙方维护保养期间检查出设备故障，应提出整改方案报甲方审批，由甲方负责组织落实整改。</w:t>
      </w:r>
    </w:p>
    <w:p w14:paraId="4FAC21D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6.</w:t>
      </w:r>
      <w:r>
        <w:rPr>
          <w:rFonts w:hint="eastAsia" w:ascii="微软雅黑" w:hAnsi="微软雅黑" w:eastAsia="微软雅黑"/>
          <w:szCs w:val="21"/>
        </w:rPr>
        <w:t>乙方在维保和维修期间的人员及设备安全由乙方负责。</w:t>
      </w:r>
    </w:p>
    <w:p w14:paraId="333A3E2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17.</w:t>
      </w:r>
      <w:r>
        <w:rPr>
          <w:rFonts w:hint="eastAsia" w:ascii="微软雅黑" w:hAnsi="微软雅黑" w:eastAsia="微软雅黑"/>
          <w:szCs w:val="21"/>
        </w:rPr>
        <w:t>所有更换及维修的材料和设备费用由甲方承担。</w:t>
      </w:r>
    </w:p>
    <w:p w14:paraId="39798E2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8.</w:t>
      </w:r>
      <w:r>
        <w:rPr>
          <w:rFonts w:hint="eastAsia" w:ascii="微软雅黑" w:hAnsi="微软雅黑" w:eastAsia="微软雅黑"/>
          <w:szCs w:val="21"/>
        </w:rPr>
        <w:t>付款节点时甲方收到乙方开具的维保发票后3个月不支付乙方维保费，乙方有权终止合同。</w:t>
      </w:r>
    </w:p>
    <w:p w14:paraId="3E62D495">
      <w:pPr>
        <w:adjustRightInd w:val="0"/>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lang w:val="en-US" w:eastAsia="zh-CN"/>
        </w:rPr>
        <w:t>19.乙方违反本合同的任一约定，即属于违约，应按本合同的约定向甲方承担违约责任。除本合同另有约定外，乙方应承担的赔偿责任范围包括甲方支付的各项费用：包括但不限于律师费、诉讼及诉讼相关费用、差旅费、咨询费、材料费、财产保全费、保全担保/保险费、调查费、评估费、执行费、鉴定费、拍卖费、公证费、公告费等。</w:t>
      </w:r>
    </w:p>
    <w:p w14:paraId="2AC11E1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六、维护保养费用及支付方式、期限：</w:t>
      </w:r>
    </w:p>
    <w:p w14:paraId="42ED881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w:t>
      </w:r>
      <w:r>
        <w:rPr>
          <w:rFonts w:hint="eastAsia" w:ascii="微软雅黑" w:hAnsi="微软雅黑" w:eastAsia="微软雅黑"/>
          <w:szCs w:val="21"/>
        </w:rPr>
        <w:t>维护保养费用</w:t>
      </w:r>
    </w:p>
    <w:p w14:paraId="534BA73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维保合同价款（含税）为人民币  </w:t>
      </w:r>
      <w:r>
        <w:rPr>
          <w:rFonts w:hint="eastAsia" w:ascii="微软雅黑" w:hAnsi="微软雅黑" w:eastAsia="微软雅黑"/>
          <w:szCs w:val="21"/>
          <w:lang w:val="en-US" w:eastAsia="zh-CN"/>
        </w:rPr>
        <w:t>XXXX</w:t>
      </w:r>
      <w:r>
        <w:rPr>
          <w:rFonts w:hint="eastAsia" w:ascii="微软雅黑" w:hAnsi="微软雅黑" w:eastAsia="微软雅黑"/>
          <w:szCs w:val="21"/>
        </w:rPr>
        <w:t xml:space="preserve">   元（</w:t>
      </w:r>
      <w:r>
        <w:rPr>
          <w:rFonts w:hint="eastAsia" w:ascii="微软雅黑" w:hAnsi="微软雅黑" w:eastAsia="微软雅黑"/>
          <w:szCs w:val="21"/>
          <w:lang w:val="en-US" w:eastAsia="zh-CN"/>
        </w:rPr>
        <w:t>大</w:t>
      </w:r>
      <w:r>
        <w:rPr>
          <w:rFonts w:hint="eastAsia" w:ascii="微软雅黑" w:hAnsi="微软雅黑" w:eastAsia="微软雅黑"/>
          <w:szCs w:val="21"/>
        </w:rPr>
        <w:t xml:space="preserve">写：  </w:t>
      </w:r>
      <w:r>
        <w:rPr>
          <w:rFonts w:hint="eastAsia" w:ascii="微软雅黑" w:hAnsi="微软雅黑" w:eastAsia="微软雅黑"/>
          <w:szCs w:val="21"/>
          <w:lang w:val="en-US" w:eastAsia="zh-CN"/>
        </w:rPr>
        <w:t>XXX</w:t>
      </w:r>
      <w:r>
        <w:rPr>
          <w:rFonts w:hint="eastAsia" w:ascii="微软雅黑" w:hAnsi="微软雅黑" w:eastAsia="微软雅黑"/>
          <w:szCs w:val="21"/>
        </w:rPr>
        <w:t xml:space="preserve">    元</w:t>
      </w:r>
      <w:r>
        <w:rPr>
          <w:rFonts w:hint="eastAsia" w:ascii="微软雅黑" w:hAnsi="微软雅黑" w:eastAsia="微软雅黑"/>
          <w:szCs w:val="21"/>
          <w:lang w:val="en-US" w:eastAsia="zh-CN"/>
        </w:rPr>
        <w:t>整</w:t>
      </w:r>
      <w:r>
        <w:rPr>
          <w:rFonts w:hint="eastAsia" w:ascii="微软雅黑" w:hAnsi="微软雅黑" w:eastAsia="微软雅黑"/>
          <w:szCs w:val="21"/>
        </w:rPr>
        <w:t>）</w:t>
      </w:r>
      <w:r>
        <w:rPr>
          <w:rFonts w:hint="eastAsia" w:ascii="微软雅黑" w:hAnsi="微软雅黑" w:eastAsia="微软雅黑"/>
          <w:szCs w:val="21"/>
          <w:lang w:eastAsia="zh-CN"/>
        </w:rPr>
        <w:t>，其中不含税金额为</w:t>
      </w:r>
      <w:r>
        <w:rPr>
          <w:rFonts w:hint="eastAsia" w:ascii="微软雅黑" w:hAnsi="微软雅黑" w:eastAsia="微软雅黑"/>
          <w:szCs w:val="21"/>
          <w:lang w:val="en-US" w:eastAsia="zh-CN"/>
        </w:rPr>
        <w:t>XXXX</w:t>
      </w:r>
      <w:r>
        <w:rPr>
          <w:rFonts w:hint="eastAsia" w:ascii="微软雅黑" w:hAnsi="微软雅黑" w:eastAsia="微软雅黑"/>
          <w:szCs w:val="21"/>
          <w:lang w:eastAsia="zh-CN"/>
        </w:rPr>
        <w:t>元，税率</w:t>
      </w:r>
      <w:r>
        <w:rPr>
          <w:rFonts w:hint="eastAsia" w:ascii="微软雅黑" w:hAnsi="微软雅黑" w:eastAsia="微软雅黑"/>
          <w:szCs w:val="21"/>
          <w:lang w:val="en-US" w:eastAsia="zh-CN"/>
        </w:rPr>
        <w:t>XX</w:t>
      </w:r>
      <w:r>
        <w:rPr>
          <w:rFonts w:hint="eastAsia" w:ascii="微软雅黑" w:hAnsi="微软雅黑" w:eastAsia="微软雅黑"/>
          <w:szCs w:val="21"/>
          <w:lang w:eastAsia="zh-CN"/>
        </w:rPr>
        <w:t>%，税额</w:t>
      </w:r>
      <w:r>
        <w:rPr>
          <w:rFonts w:hint="eastAsia" w:ascii="微软雅黑" w:hAnsi="微软雅黑" w:eastAsia="微软雅黑"/>
          <w:szCs w:val="21"/>
          <w:lang w:val="en-US" w:eastAsia="zh-CN"/>
        </w:rPr>
        <w:t>XXXX</w:t>
      </w:r>
      <w:r>
        <w:rPr>
          <w:rFonts w:hint="eastAsia" w:ascii="微软雅黑" w:hAnsi="微软雅黑" w:eastAsia="微软雅黑"/>
          <w:szCs w:val="21"/>
          <w:lang w:eastAsia="zh-CN"/>
        </w:rPr>
        <w:t>元。</w:t>
      </w:r>
      <w:r>
        <w:rPr>
          <w:rFonts w:hint="eastAsia" w:ascii="微软雅黑" w:hAnsi="微软雅黑" w:eastAsia="微软雅黑"/>
          <w:szCs w:val="21"/>
        </w:rPr>
        <w:t>合同价款不包括设施故障更换的材料费、消防设施丢失的配置、埋地消防给水管网泄漏排查及修复涉及的费用。</w:t>
      </w:r>
    </w:p>
    <w:p w14:paraId="2F2A35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支付方式</w:t>
      </w:r>
    </w:p>
    <w:p w14:paraId="393BA9E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本合同由双方签字生效后，乙方</w:t>
      </w:r>
      <w:r>
        <w:rPr>
          <w:rFonts w:hint="eastAsia" w:ascii="微软雅黑" w:hAnsi="微软雅黑" w:eastAsia="微软雅黑"/>
          <w:szCs w:val="21"/>
          <w:lang w:eastAsia="zh-CN"/>
        </w:rPr>
        <w:t>应</w:t>
      </w:r>
      <w:r>
        <w:rPr>
          <w:rFonts w:hint="eastAsia" w:ascii="微软雅黑" w:hAnsi="微软雅黑" w:eastAsia="微软雅黑"/>
          <w:szCs w:val="21"/>
        </w:rPr>
        <w:t>按要求</w:t>
      </w:r>
      <w:r>
        <w:rPr>
          <w:rFonts w:hint="eastAsia" w:ascii="微软雅黑" w:hAnsi="微软雅黑" w:eastAsia="微软雅黑"/>
          <w:szCs w:val="21"/>
          <w:lang w:eastAsia="zh-CN"/>
        </w:rPr>
        <w:t>圆满</w:t>
      </w:r>
      <w:r>
        <w:rPr>
          <w:rFonts w:hint="eastAsia" w:ascii="微软雅黑" w:hAnsi="微软雅黑" w:eastAsia="微软雅黑"/>
          <w:szCs w:val="21"/>
        </w:rPr>
        <w:t>完成维修保养任务</w:t>
      </w:r>
      <w:r>
        <w:rPr>
          <w:rFonts w:hint="eastAsia" w:ascii="微软雅黑" w:hAnsi="微软雅黑" w:eastAsia="微软雅黑"/>
          <w:szCs w:val="21"/>
          <w:lang w:eastAsia="zh-CN"/>
        </w:rPr>
        <w:t>。</w:t>
      </w:r>
      <w:r>
        <w:rPr>
          <w:rFonts w:hint="eastAsia" w:ascii="微软雅黑" w:hAnsi="微软雅黑" w:eastAsia="微软雅黑"/>
          <w:szCs w:val="21"/>
        </w:rPr>
        <w:t>甲方在合同年度过半时，</w:t>
      </w:r>
      <w:r>
        <w:rPr>
          <w:rFonts w:hint="eastAsia" w:ascii="微软雅黑" w:hAnsi="微软雅黑" w:eastAsia="微软雅黑"/>
          <w:szCs w:val="21"/>
          <w:lang w:val="en-US" w:eastAsia="zh-CN"/>
        </w:rPr>
        <w:t>甲方</w:t>
      </w:r>
      <w:r>
        <w:rPr>
          <w:rFonts w:hint="eastAsia" w:ascii="微软雅黑" w:hAnsi="微软雅黑" w:eastAsia="微软雅黑"/>
          <w:szCs w:val="21"/>
        </w:rPr>
        <w:t>向乙方支付本年度维修保养费的50%（</w:t>
      </w:r>
      <w:r>
        <w:rPr>
          <w:rFonts w:hint="eastAsia" w:ascii="微软雅黑" w:hAnsi="微软雅黑" w:eastAsia="微软雅黑"/>
          <w:szCs w:val="21"/>
          <w:lang w:val="en-US" w:eastAsia="zh-CN"/>
        </w:rPr>
        <w:t>XXX</w:t>
      </w:r>
      <w:r>
        <w:rPr>
          <w:rFonts w:hint="eastAsia" w:ascii="微软雅黑" w:hAnsi="微软雅黑" w:eastAsia="微软雅黑"/>
          <w:szCs w:val="21"/>
        </w:rPr>
        <w:t>元）</w:t>
      </w:r>
      <w:r>
        <w:rPr>
          <w:rFonts w:hint="eastAsia" w:ascii="微软雅黑" w:hAnsi="微软雅黑" w:eastAsia="微软雅黑"/>
          <w:szCs w:val="21"/>
          <w:lang w:eastAsia="zh-CN"/>
        </w:rPr>
        <w:t>；</w:t>
      </w:r>
      <w:r>
        <w:rPr>
          <w:rFonts w:hint="eastAsia" w:ascii="微软雅黑" w:hAnsi="微软雅黑" w:eastAsia="微软雅黑"/>
          <w:szCs w:val="21"/>
        </w:rPr>
        <w:t>合同期限到期，甲方向乙方支付本年度剩余50%（</w:t>
      </w:r>
      <w:r>
        <w:rPr>
          <w:rFonts w:hint="eastAsia" w:ascii="微软雅黑" w:hAnsi="微软雅黑" w:eastAsia="微软雅黑"/>
          <w:szCs w:val="21"/>
          <w:lang w:val="en-US" w:eastAsia="zh-CN"/>
        </w:rPr>
        <w:t>XXX</w:t>
      </w:r>
      <w:r>
        <w:rPr>
          <w:rFonts w:hint="eastAsia" w:ascii="微软雅黑" w:hAnsi="微软雅黑" w:eastAsia="微软雅黑"/>
          <w:szCs w:val="21"/>
        </w:rPr>
        <w:t>元）的维修保养费。乙方若没有按合同要求履约，扣罚的费用直接从运行维护费中扣除。每次款项支付前，乙方必须向甲方开具全额增值税专用发票，甲方收到发票后30个工作日内转账支付。乙方应提供真实合法有效的发票，若因自身原因或者所开票据本身之问题造成甲方日后发生税收风险而产生经济损失，应由乙方承担，甲方保持进一步提起法律诉讼权利。</w:t>
      </w:r>
    </w:p>
    <w:p w14:paraId="207D8AD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甲方支付给乙方的合同价款必须按以下信息支付，否则视为违约：</w:t>
      </w:r>
    </w:p>
    <w:p w14:paraId="15525F0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单位全称：</w:t>
      </w:r>
    </w:p>
    <w:p w14:paraId="38E4896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开户银行：</w:t>
      </w:r>
    </w:p>
    <w:p w14:paraId="0941E76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账    号：</w:t>
      </w:r>
    </w:p>
    <w:p w14:paraId="36D15BC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合同执行期限：本合同期限壹年，自</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2025</w:t>
      </w:r>
      <w:r>
        <w:rPr>
          <w:rFonts w:hint="eastAsia" w:ascii="微软雅黑" w:hAnsi="微软雅黑" w:eastAsia="微软雅黑"/>
          <w:szCs w:val="21"/>
          <w:u w:val="single"/>
        </w:rPr>
        <w:t xml:space="preserve"> </w:t>
      </w:r>
      <w:r>
        <w:rPr>
          <w:rFonts w:hint="eastAsia" w:ascii="微软雅黑" w:hAnsi="微软雅黑" w:eastAsia="微软雅黑"/>
          <w:szCs w:val="21"/>
        </w:rPr>
        <w:t>年</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9</w:t>
      </w:r>
      <w:r>
        <w:rPr>
          <w:rFonts w:hint="eastAsia" w:ascii="微软雅黑" w:hAnsi="微软雅黑" w:eastAsia="微软雅黑"/>
          <w:szCs w:val="21"/>
          <w:u w:val="single"/>
        </w:rPr>
        <w:t xml:space="preserve"> </w:t>
      </w:r>
      <w:r>
        <w:rPr>
          <w:rFonts w:hint="eastAsia" w:ascii="微软雅黑" w:hAnsi="微软雅黑" w:eastAsia="微软雅黑"/>
          <w:szCs w:val="21"/>
        </w:rPr>
        <w:t>月</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8</w:t>
      </w:r>
      <w:r>
        <w:rPr>
          <w:rFonts w:hint="eastAsia" w:ascii="微软雅黑" w:hAnsi="微软雅黑" w:eastAsia="微软雅黑"/>
          <w:szCs w:val="21"/>
          <w:u w:val="single"/>
        </w:rPr>
        <w:t xml:space="preserve"> </w:t>
      </w:r>
      <w:r>
        <w:rPr>
          <w:rFonts w:hint="eastAsia" w:ascii="微软雅黑" w:hAnsi="微软雅黑" w:eastAsia="微软雅黑"/>
          <w:szCs w:val="21"/>
        </w:rPr>
        <w:t>日至</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2026</w:t>
      </w:r>
      <w:r>
        <w:rPr>
          <w:rFonts w:hint="eastAsia" w:ascii="微软雅黑" w:hAnsi="微软雅黑" w:eastAsia="微软雅黑"/>
          <w:szCs w:val="21"/>
          <w:u w:val="single"/>
        </w:rPr>
        <w:t xml:space="preserve"> </w:t>
      </w:r>
      <w:r>
        <w:rPr>
          <w:rFonts w:hint="eastAsia" w:ascii="微软雅黑" w:hAnsi="微软雅黑" w:eastAsia="微软雅黑"/>
          <w:szCs w:val="21"/>
        </w:rPr>
        <w:t>年</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9</w:t>
      </w:r>
      <w:r>
        <w:rPr>
          <w:rFonts w:hint="eastAsia" w:ascii="微软雅黑" w:hAnsi="微软雅黑" w:eastAsia="微软雅黑"/>
          <w:szCs w:val="21"/>
          <w:u w:val="single"/>
        </w:rPr>
        <w:t xml:space="preserve"> </w:t>
      </w:r>
      <w:r>
        <w:rPr>
          <w:rFonts w:hint="eastAsia" w:ascii="微软雅黑" w:hAnsi="微软雅黑" w:eastAsia="微软雅黑"/>
          <w:szCs w:val="21"/>
        </w:rPr>
        <w:t>月</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7</w:t>
      </w:r>
      <w:r>
        <w:rPr>
          <w:rFonts w:hint="eastAsia" w:ascii="微软雅黑" w:hAnsi="微软雅黑" w:eastAsia="微软雅黑"/>
          <w:szCs w:val="21"/>
          <w:u w:val="single"/>
        </w:rPr>
        <w:t xml:space="preserve"> </w:t>
      </w:r>
      <w:r>
        <w:rPr>
          <w:rFonts w:hint="eastAsia" w:ascii="微软雅黑" w:hAnsi="微软雅黑" w:eastAsia="微软雅黑"/>
          <w:szCs w:val="21"/>
        </w:rPr>
        <w:t>日。</w:t>
      </w:r>
    </w:p>
    <w:p w14:paraId="56260C1B">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第七条：安全责任</w:t>
      </w:r>
    </w:p>
    <w:p w14:paraId="5C3CEF4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乙方在维保过程中应注意安全防范工作，严格执行行业安全操作规程，特别是高空作业人员必须采取安全保护措施，系牢安全保险绳方可施工。乙方应履行并自行承担维保过程中的安全责任，采取一切必要的防护措施避免安全事故和人身伤亡事故的发生</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乙方在履行合同过程中</w:t>
      </w:r>
      <w:r>
        <w:rPr>
          <w:rFonts w:hint="eastAsia" w:ascii="微软雅黑" w:hAnsi="微软雅黑" w:eastAsia="微软雅黑"/>
          <w:szCs w:val="21"/>
          <w:highlight w:val="none"/>
        </w:rPr>
        <w:t>发生的所有安全事故，</w:t>
      </w:r>
      <w:r>
        <w:rPr>
          <w:rFonts w:hint="eastAsia" w:ascii="微软雅黑" w:hAnsi="微软雅黑" w:eastAsia="微软雅黑"/>
          <w:szCs w:val="21"/>
        </w:rPr>
        <w:t>对甲方、乙方及任意第三方造成人身伤害、财产损失及相关的法律责任及经济责任概由乙方自行负责承担。乙方在没有妥善处理完事故所有后续事宜前，甲方有权暂停支付本合同款项，待事故处理完毕后再支付给乙方，同时甲方有权终止本合同。给甲方造成损失的，直接在合同款项中予以扣除，不足部分甲方有权继续向乙方进行追索。</w:t>
      </w:r>
    </w:p>
    <w:p w14:paraId="7426ED3F">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八</w:t>
      </w:r>
      <w:r>
        <w:rPr>
          <w:rFonts w:hint="eastAsia" w:ascii="微软雅黑" w:hAnsi="微软雅黑" w:eastAsia="微软雅黑"/>
          <w:b/>
          <w:bCs/>
          <w:szCs w:val="21"/>
        </w:rPr>
        <w:t>、违约责任</w:t>
      </w:r>
    </w:p>
    <w:p w14:paraId="436A826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对乙方不按规定履行义务，在维护保养中弄虚作假或严重不负责任的，或转包、分包消防设施维护保养技术服务项目的，甲方有权解除合同，乙方应当返还全部</w:t>
      </w:r>
      <w:r>
        <w:rPr>
          <w:rFonts w:hint="eastAsia" w:ascii="微软雅黑" w:hAnsi="微软雅黑" w:eastAsia="微软雅黑"/>
          <w:szCs w:val="21"/>
          <w:lang w:val="en-US" w:eastAsia="zh-CN"/>
        </w:rPr>
        <w:t>维保费用</w:t>
      </w:r>
      <w:r>
        <w:rPr>
          <w:rFonts w:hint="eastAsia" w:ascii="微软雅黑" w:hAnsi="微软雅黑" w:eastAsia="微软雅黑"/>
          <w:szCs w:val="21"/>
        </w:rPr>
        <w:t>，并且按照合同总金额的20%向甲方支付违约金。</w:t>
      </w:r>
    </w:p>
    <w:p w14:paraId="0570C6C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乙方未能依照技术标准和执业准则，导致消防设施质量问题的，承担相应责任</w:t>
      </w:r>
      <w:r>
        <w:rPr>
          <w:rFonts w:hint="eastAsia" w:ascii="微软雅黑" w:hAnsi="微软雅黑" w:eastAsia="微软雅黑"/>
          <w:szCs w:val="21"/>
          <w:lang w:eastAsia="zh-CN"/>
        </w:rPr>
        <w:t>，</w:t>
      </w:r>
      <w:r>
        <w:rPr>
          <w:rFonts w:hint="eastAsia" w:ascii="微软雅黑" w:hAnsi="微软雅黑" w:eastAsia="微软雅黑"/>
          <w:szCs w:val="21"/>
        </w:rPr>
        <w:t>甲方有权单方解除本合同，乙方应当返还全部货款，并且按照合同总金额的20%向甲方支付违约金。</w:t>
      </w:r>
    </w:p>
    <w:p w14:paraId="2C5E3AA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九</w:t>
      </w:r>
      <w:r>
        <w:rPr>
          <w:rFonts w:hint="eastAsia" w:ascii="微软雅黑" w:hAnsi="微软雅黑" w:eastAsia="微软雅黑"/>
          <w:szCs w:val="21"/>
        </w:rPr>
        <w:t>、解决合同纠纷的方式</w:t>
      </w:r>
    </w:p>
    <w:p w14:paraId="2958517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履行本合同如发生纠纷，甲、乙双方应当及时协商解决，协商不成时，任何一方均可向甲方所在地人民法院起诉。守约方因主张权利产生的诉讼费、财产保全费、保全担保费、律师费、鉴定费、评估费、拍卖费、强制执行费、差旅费等，由违约方承担。</w:t>
      </w:r>
    </w:p>
    <w:p w14:paraId="3CCC8601">
      <w:pPr>
        <w:adjustRightInd w:val="0"/>
        <w:snapToGrid w:val="0"/>
        <w:spacing w:line="480" w:lineRule="exact"/>
        <w:ind w:firstLine="420" w:firstLineChars="200"/>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十、</w:t>
      </w:r>
      <w:r>
        <w:rPr>
          <w:rFonts w:hint="eastAsia" w:ascii="微软雅黑" w:hAnsi="微软雅黑" w:eastAsia="微软雅黑"/>
          <w:b/>
          <w:bCs/>
          <w:szCs w:val="21"/>
        </w:rPr>
        <w:t>送达地址</w:t>
      </w:r>
    </w:p>
    <w:p w14:paraId="734C7AC2">
      <w:pPr>
        <w:adjustRightInd w:val="0"/>
        <w:snapToGrid w:val="0"/>
        <w:spacing w:line="480" w:lineRule="exact"/>
        <w:ind w:firstLine="420" w:firstLineChars="200"/>
        <w:rPr>
          <w:rFonts w:hint="eastAsia" w:ascii="微软雅黑" w:hAnsi="微软雅黑" w:eastAsia="微软雅黑"/>
          <w:szCs w:val="21"/>
        </w:rPr>
      </w:pPr>
      <w:r>
        <w:rPr>
          <w:rFonts w:hint="default" w:ascii="微软雅黑" w:hAnsi="微软雅黑" w:eastAsia="微软雅黑"/>
          <w:szCs w:val="21"/>
        </w:rPr>
        <w:t>本合同各方所署地址真实有效，一方（含仲裁、法院等机关）按照该地址送达相关资料、文书、文件的，自邮寄之日起三个工作日内视为送达，若一方拒收，不影响送达的效力。一方地址若发生变更的，应在变更前2日内书面通知对方，否则，本合同所署地址仍为有效送达地址。本合同各方所署联系电话系实名电话，一方（含仲裁、法院等机关）向该联系电话发送短信、微信、文书、通知等，一经发出即视为送达。</w:t>
      </w:r>
    </w:p>
    <w:p w14:paraId="11B963B8">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十一</w:t>
      </w:r>
      <w:r>
        <w:rPr>
          <w:rFonts w:hint="eastAsia" w:ascii="微软雅黑" w:hAnsi="微软雅黑" w:eastAsia="微软雅黑"/>
          <w:b/>
          <w:bCs/>
          <w:szCs w:val="21"/>
        </w:rPr>
        <w:t>、双方协商的其他事项</w:t>
      </w:r>
    </w:p>
    <w:p w14:paraId="6358435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1.本合同由甲、乙双方法人代表或其委托人签字盖章后生效。</w:t>
      </w:r>
    </w:p>
    <w:p w14:paraId="4A0D86C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2.本合同一式肆份，由甲、乙双方各持贰份，均具有同等法律效力。</w:t>
      </w:r>
    </w:p>
    <w:p w14:paraId="57185FA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3.本合同在实施过程中若需破土、拆墙、开检修孔等工作由甲方承担相关费用。</w:t>
      </w:r>
    </w:p>
    <w:p w14:paraId="27AB0EE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在乙方执行合同期间，甲方消防系统新增和改造部分、管道设备的防腐工作不在本合同范围；若甲方委托乙方新增或改造消防系统、对管道设备进行防腐涂漆，经甲乙双方协商后进行；如因甲方自行改造（二次装修）产生的消防系统故障和设备故障，由此造成的损失由责任方自行承担。</w:t>
      </w:r>
    </w:p>
    <w:p w14:paraId="387EDEA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5.本合同附件《商务条款承诺》及《消防系统维保方案》是本合同的重组成部分，乙方必须按照其承诺及要求进行消防系统维修保养工作，甲方有权进行监督。</w:t>
      </w:r>
    </w:p>
    <w:p w14:paraId="4CFEF48B">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6.乙方维修保养工作经甲方考核评价，认为乙方服务质量符合本合同及甲方对消防维修保养工作要求，经甲乙双方协商同意，可续签消防维修保养合同。</w:t>
      </w:r>
    </w:p>
    <w:p w14:paraId="774A7A3E">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7</w:t>
      </w:r>
      <w:r>
        <w:rPr>
          <w:rFonts w:hint="eastAsia" w:ascii="微软雅黑" w:hAnsi="微软雅黑" w:eastAsia="微软雅黑"/>
          <w:szCs w:val="21"/>
        </w:rPr>
        <w:t>.本合同未尽事宜双方协商解决。</w:t>
      </w:r>
    </w:p>
    <w:p w14:paraId="1EEC4902">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附件</w:t>
      </w:r>
      <w:r>
        <w:rPr>
          <w:rFonts w:hint="eastAsia" w:ascii="微软雅黑" w:hAnsi="微软雅黑" w:eastAsia="微软雅黑"/>
          <w:szCs w:val="21"/>
          <w:lang w:val="en-US" w:eastAsia="zh-CN"/>
        </w:rPr>
        <w:t>1</w:t>
      </w:r>
      <w:r>
        <w:rPr>
          <w:rFonts w:hint="eastAsia" w:ascii="微软雅黑" w:hAnsi="微软雅黑" w:eastAsia="微软雅黑"/>
          <w:szCs w:val="21"/>
          <w:lang w:eastAsia="zh-CN"/>
        </w:rPr>
        <w:t>：商务条款承诺</w:t>
      </w:r>
    </w:p>
    <w:p w14:paraId="41A4855D">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附件</w:t>
      </w:r>
      <w:r>
        <w:rPr>
          <w:rFonts w:hint="eastAsia" w:ascii="微软雅黑" w:hAnsi="微软雅黑" w:eastAsia="微软雅黑"/>
          <w:szCs w:val="21"/>
          <w:lang w:val="en-US" w:eastAsia="zh-CN"/>
        </w:rPr>
        <w:t>2</w:t>
      </w:r>
      <w:r>
        <w:rPr>
          <w:rFonts w:hint="eastAsia" w:ascii="微软雅黑" w:hAnsi="微软雅黑" w:eastAsia="微软雅黑"/>
          <w:szCs w:val="21"/>
          <w:lang w:eastAsia="zh-CN"/>
        </w:rPr>
        <w:t>：消防系统维保方案</w:t>
      </w:r>
    </w:p>
    <w:p w14:paraId="2F4383D0">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附件</w:t>
      </w:r>
      <w:r>
        <w:rPr>
          <w:rFonts w:hint="eastAsia" w:ascii="微软雅黑" w:hAnsi="微软雅黑" w:eastAsia="微软雅黑"/>
          <w:szCs w:val="21"/>
          <w:lang w:val="en-US" w:eastAsia="zh-CN"/>
        </w:rPr>
        <w:t>3</w:t>
      </w:r>
      <w:r>
        <w:rPr>
          <w:rFonts w:hint="eastAsia" w:ascii="微软雅黑" w:hAnsi="微软雅黑" w:eastAsia="微软雅黑"/>
          <w:szCs w:val="21"/>
          <w:lang w:eastAsia="zh-CN"/>
        </w:rPr>
        <w:t>：维保质量承诺书</w:t>
      </w:r>
    </w:p>
    <w:p w14:paraId="53C0BEE9">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附件</w:t>
      </w:r>
      <w:r>
        <w:rPr>
          <w:rFonts w:hint="eastAsia" w:ascii="微软雅黑" w:hAnsi="微软雅黑" w:eastAsia="微软雅黑"/>
          <w:szCs w:val="21"/>
          <w:lang w:val="en-US" w:eastAsia="zh-CN"/>
        </w:rPr>
        <w:t>4</w:t>
      </w:r>
      <w:r>
        <w:rPr>
          <w:rFonts w:hint="eastAsia" w:ascii="微软雅黑" w:hAnsi="微软雅黑" w:eastAsia="微软雅黑"/>
          <w:szCs w:val="21"/>
          <w:lang w:eastAsia="zh-CN"/>
        </w:rPr>
        <w:t>：服务项目廉政合同</w:t>
      </w:r>
    </w:p>
    <w:p w14:paraId="395E383C">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附件</w:t>
      </w:r>
      <w:r>
        <w:rPr>
          <w:rFonts w:hint="eastAsia" w:ascii="微软雅黑" w:hAnsi="微软雅黑" w:eastAsia="微软雅黑"/>
          <w:szCs w:val="21"/>
          <w:lang w:val="en-US" w:eastAsia="zh-CN"/>
        </w:rPr>
        <w:t>5</w:t>
      </w:r>
      <w:r>
        <w:rPr>
          <w:rFonts w:hint="eastAsia" w:ascii="微软雅黑" w:hAnsi="微软雅黑" w:eastAsia="微软雅黑"/>
          <w:szCs w:val="21"/>
          <w:lang w:eastAsia="zh-CN"/>
        </w:rPr>
        <w:t>：安全责任协议书</w:t>
      </w:r>
    </w:p>
    <w:p w14:paraId="0B84FE70">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以下无正文</w:t>
      </w:r>
      <w:r>
        <w:rPr>
          <w:rFonts w:hint="eastAsia" w:ascii="微软雅黑" w:hAnsi="微软雅黑" w:eastAsia="微软雅黑"/>
          <w:szCs w:val="21"/>
          <w:lang w:eastAsia="zh-CN"/>
        </w:rPr>
        <w:t>）</w:t>
      </w:r>
    </w:p>
    <w:p w14:paraId="78FAA6E3">
      <w:pPr>
        <w:spacing w:line="480" w:lineRule="exact"/>
        <w:ind w:firstLine="482" w:firstLineChars="200"/>
        <w:jc w:val="center"/>
        <w:rPr>
          <w:rFonts w:hint="eastAsia"/>
        </w:rPr>
      </w:pPr>
      <w:r>
        <w:rPr>
          <w:rFonts w:hint="eastAsia" w:ascii="宋体" w:hAnsi="宋体" w:cs="仿宋_GB2312"/>
          <w:b/>
          <w:bCs/>
          <w:sz w:val="24"/>
          <w:szCs w:val="24"/>
          <w:lang w:eastAsia="zh-CN"/>
        </w:rPr>
        <w:t>（</w:t>
      </w:r>
      <w:r>
        <w:rPr>
          <w:rFonts w:hint="eastAsia" w:ascii="宋体" w:hAnsi="宋体" w:cs="仿宋_GB2312"/>
          <w:b/>
          <w:bCs/>
          <w:sz w:val="24"/>
          <w:szCs w:val="24"/>
          <w:lang w:val="en-US" w:eastAsia="zh-CN"/>
        </w:rPr>
        <w:t>合同签署栏</w:t>
      </w:r>
      <w:r>
        <w:rPr>
          <w:rFonts w:hint="eastAsia" w:ascii="宋体" w:hAnsi="宋体" w:cs="仿宋_GB2312"/>
          <w:b/>
          <w:bCs/>
          <w:sz w:val="24"/>
          <w:szCs w:val="24"/>
          <w:lang w:eastAsia="zh-CN"/>
        </w:rPr>
        <w:t>）</w:t>
      </w:r>
    </w:p>
    <w:tbl>
      <w:tblPr>
        <w:tblStyle w:val="39"/>
        <w:tblpPr w:leftFromText="180" w:rightFromText="180" w:vertAnchor="text" w:horzAnchor="page" w:tblpX="1105" w:tblpY="470"/>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4919"/>
      </w:tblGrid>
      <w:tr w14:paraId="5730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060" w:type="dxa"/>
            <w:tcBorders>
              <w:tl2br w:val="nil"/>
              <w:tr2bl w:val="nil"/>
            </w:tcBorders>
            <w:noWrap w:val="0"/>
            <w:vAlign w:val="top"/>
          </w:tcPr>
          <w:p w14:paraId="40CBBC39">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甲方（盖章）：重庆市计量质量检测研究院</w:t>
            </w:r>
          </w:p>
          <w:p w14:paraId="5672C398">
            <w:pPr>
              <w:adjustRightInd w:val="0"/>
              <w:snapToGrid w:val="0"/>
              <w:spacing w:line="480" w:lineRule="exact"/>
              <w:rPr>
                <w:rFonts w:hint="eastAsia" w:ascii="微软雅黑" w:hAnsi="微软雅黑" w:eastAsia="微软雅黑"/>
                <w:szCs w:val="21"/>
                <w:lang w:eastAsia="zh-CN"/>
              </w:rPr>
            </w:pPr>
            <w:r>
              <w:rPr>
                <w:rFonts w:hint="eastAsia" w:ascii="微软雅黑" w:hAnsi="微软雅黑" w:eastAsia="微软雅黑"/>
                <w:szCs w:val="21"/>
              </w:rPr>
              <w:t>地址：重庆市渝北区杨柳北路1号</w:t>
            </w:r>
            <w:r>
              <w:rPr>
                <w:rFonts w:hint="eastAsia" w:ascii="微软雅黑" w:hAnsi="微软雅黑" w:eastAsia="微软雅黑"/>
                <w:szCs w:val="21"/>
                <w:lang w:eastAsia="zh-CN"/>
              </w:rPr>
              <w:t>。</w:t>
            </w:r>
          </w:p>
          <w:p w14:paraId="4AD028EA">
            <w:pPr>
              <w:adjustRightInd w:val="0"/>
              <w:snapToGrid w:val="0"/>
              <w:spacing w:line="480" w:lineRule="exact"/>
              <w:rPr>
                <w:rFonts w:hint="eastAsia" w:ascii="微软雅黑" w:hAnsi="微软雅黑" w:eastAsia="微软雅黑"/>
                <w:szCs w:val="21"/>
              </w:rPr>
            </w:pPr>
          </w:p>
          <w:p w14:paraId="27010A94">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法定代表人：</w:t>
            </w:r>
          </w:p>
          <w:p w14:paraId="1BF9584E">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委托代理人：</w:t>
            </w:r>
          </w:p>
          <w:p w14:paraId="219A4FBE">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电话：</w:t>
            </w:r>
            <w:r>
              <w:rPr>
                <w:rFonts w:hint="eastAsia" w:ascii="微软雅黑" w:hAnsi="微软雅黑" w:eastAsia="微软雅黑"/>
                <w:szCs w:val="21"/>
                <w:lang w:val="en-US" w:eastAsia="zh-CN"/>
              </w:rPr>
              <w:t>023-89232162</w:t>
            </w:r>
          </w:p>
          <w:p w14:paraId="1EE3B66C">
            <w:pPr>
              <w:adjustRightInd w:val="0"/>
              <w:snapToGrid w:val="0"/>
              <w:spacing w:line="480" w:lineRule="exact"/>
              <w:rPr>
                <w:rFonts w:hint="eastAsia" w:ascii="微软雅黑" w:hAnsi="微软雅黑" w:eastAsia="微软雅黑"/>
                <w:szCs w:val="21"/>
                <w:lang w:eastAsia="zh-CN"/>
              </w:rPr>
            </w:pPr>
            <w:r>
              <w:rPr>
                <w:rFonts w:hint="eastAsia" w:ascii="微软雅黑" w:hAnsi="微软雅黑" w:eastAsia="微软雅黑"/>
                <w:szCs w:val="21"/>
              </w:rPr>
              <w:t>开户银行：中国工商银行股份有限公司重庆西湖路支行</w:t>
            </w:r>
            <w:r>
              <w:rPr>
                <w:rFonts w:hint="eastAsia" w:ascii="微软雅黑" w:hAnsi="微软雅黑" w:eastAsia="微软雅黑"/>
                <w:szCs w:val="21"/>
                <w:lang w:eastAsia="zh-CN"/>
              </w:rPr>
              <w:t>。</w:t>
            </w:r>
          </w:p>
          <w:p w14:paraId="4B319EC0">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账号：3100022609100037555</w:t>
            </w:r>
          </w:p>
          <w:p w14:paraId="0145E805">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lang w:val="en-US" w:eastAsia="zh-CN"/>
              </w:rPr>
              <w:t>纳税人识别号：12500000784238817D</w:t>
            </w:r>
          </w:p>
        </w:tc>
        <w:tc>
          <w:tcPr>
            <w:tcW w:w="4919" w:type="dxa"/>
            <w:tcBorders>
              <w:tl2br w:val="nil"/>
              <w:tr2bl w:val="nil"/>
            </w:tcBorders>
            <w:noWrap w:val="0"/>
            <w:vAlign w:val="top"/>
          </w:tcPr>
          <w:p w14:paraId="321B4FE3">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乙方（盖章）：</w:t>
            </w:r>
          </w:p>
          <w:p w14:paraId="73103BF0">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地址：</w:t>
            </w:r>
          </w:p>
          <w:p w14:paraId="1D6B8E23">
            <w:pPr>
              <w:adjustRightInd w:val="0"/>
              <w:snapToGrid w:val="0"/>
              <w:spacing w:line="480" w:lineRule="exact"/>
              <w:rPr>
                <w:rFonts w:hint="eastAsia" w:ascii="微软雅黑" w:hAnsi="微软雅黑" w:eastAsia="微软雅黑"/>
                <w:szCs w:val="21"/>
                <w:lang w:eastAsia="zh-CN"/>
              </w:rPr>
            </w:pPr>
          </w:p>
          <w:p w14:paraId="53F6CF77">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法定代表人：</w:t>
            </w:r>
          </w:p>
          <w:p w14:paraId="3A1AA0C6">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委托代理人：</w:t>
            </w:r>
          </w:p>
          <w:p w14:paraId="47E20C44">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电话：</w:t>
            </w:r>
          </w:p>
          <w:p w14:paraId="36C8D1A8">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开户银行：</w:t>
            </w:r>
          </w:p>
          <w:p w14:paraId="79A68877">
            <w:pPr>
              <w:adjustRightInd w:val="0"/>
              <w:snapToGrid w:val="0"/>
              <w:spacing w:line="480" w:lineRule="exact"/>
              <w:rPr>
                <w:rFonts w:hint="eastAsia" w:ascii="微软雅黑" w:hAnsi="微软雅黑" w:eastAsia="微软雅黑"/>
                <w:szCs w:val="21"/>
                <w:lang w:eastAsia="zh-CN"/>
              </w:rPr>
            </w:pPr>
          </w:p>
          <w:p w14:paraId="16778674">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账号：</w:t>
            </w:r>
          </w:p>
          <w:p w14:paraId="15546247">
            <w:pPr>
              <w:adjustRightInd w:val="0"/>
              <w:snapToGrid w:val="0"/>
              <w:spacing w:line="480" w:lineRule="exact"/>
              <w:rPr>
                <w:rFonts w:hint="default" w:ascii="微软雅黑" w:hAnsi="微软雅黑" w:eastAsia="微软雅黑"/>
                <w:szCs w:val="21"/>
                <w:lang w:val="en-US"/>
              </w:rPr>
            </w:pPr>
            <w:r>
              <w:rPr>
                <w:rFonts w:hint="eastAsia" w:ascii="微软雅黑" w:hAnsi="微软雅黑" w:eastAsia="微软雅黑"/>
                <w:szCs w:val="21"/>
                <w:lang w:val="en-US" w:eastAsia="zh-CN"/>
              </w:rPr>
              <w:t>纳税人识别号：</w:t>
            </w:r>
          </w:p>
        </w:tc>
      </w:tr>
    </w:tbl>
    <w:p w14:paraId="3EF6C302">
      <w:pPr>
        <w:adjustRightInd w:val="0"/>
        <w:snapToGrid w:val="0"/>
        <w:spacing w:line="480" w:lineRule="exact"/>
        <w:ind w:firstLine="480" w:firstLineChars="200"/>
        <w:rPr>
          <w:rFonts w:hint="eastAsia" w:ascii="宋体" w:hAnsi="宋体" w:cs="仿宋_GB2312"/>
          <w:sz w:val="24"/>
          <w:szCs w:val="24"/>
        </w:rPr>
      </w:pPr>
      <w:r>
        <w:rPr>
          <w:rFonts w:hint="eastAsia" w:ascii="宋体" w:hAnsi="宋体" w:cs="仿宋_GB2312"/>
          <w:sz w:val="24"/>
          <w:szCs w:val="24"/>
        </w:rPr>
        <w:t xml:space="preserve">     </w:t>
      </w:r>
      <w:r>
        <w:rPr>
          <w:rFonts w:hint="eastAsia" w:ascii="微软雅黑" w:hAnsi="微软雅黑" w:eastAsia="微软雅黑"/>
          <w:szCs w:val="21"/>
        </w:rPr>
        <w:t xml:space="preserve">  年    月    日                                 年    月    日</w:t>
      </w:r>
    </w:p>
    <w:p w14:paraId="3AE32A8E">
      <w:pPr>
        <w:rPr>
          <w:rFonts w:hint="eastAsia" w:ascii="宋体" w:hAnsi="宋体" w:cs="仿宋_GB2312"/>
          <w:sz w:val="24"/>
          <w:szCs w:val="24"/>
        </w:rPr>
      </w:pPr>
      <w:r>
        <w:rPr>
          <w:rFonts w:hint="eastAsia" w:ascii="宋体" w:hAnsi="宋体" w:cs="仿宋_GB2312"/>
          <w:sz w:val="24"/>
          <w:szCs w:val="24"/>
        </w:rPr>
        <w:br w:type="page"/>
      </w:r>
    </w:p>
    <w:p w14:paraId="0D828C10">
      <w:pPr>
        <w:spacing w:line="560" w:lineRule="exact"/>
        <w:jc w:val="both"/>
        <w:rPr>
          <w:rFonts w:hint="eastAsia" w:ascii="宋体" w:hAnsi="宋体"/>
          <w:b/>
          <w:bCs/>
          <w:snapToGrid w:val="0"/>
          <w:kern w:val="0"/>
          <w:sz w:val="28"/>
          <w:szCs w:val="28"/>
          <w:lang w:eastAsia="zh-CN"/>
        </w:rPr>
      </w:pPr>
      <w:r>
        <w:rPr>
          <w:rFonts w:hint="eastAsia" w:ascii="宋体" w:hAnsi="宋体"/>
          <w:b/>
          <w:bCs/>
          <w:snapToGrid w:val="0"/>
          <w:kern w:val="0"/>
          <w:sz w:val="28"/>
          <w:szCs w:val="28"/>
        </w:rPr>
        <w:t>附件</w:t>
      </w:r>
      <w:r>
        <w:rPr>
          <w:rFonts w:hint="eastAsia" w:ascii="宋体" w:hAnsi="宋体"/>
          <w:b/>
          <w:bCs/>
          <w:snapToGrid w:val="0"/>
          <w:kern w:val="0"/>
          <w:sz w:val="28"/>
          <w:szCs w:val="28"/>
          <w:lang w:val="en-US" w:eastAsia="zh-CN"/>
        </w:rPr>
        <w:t>1</w:t>
      </w:r>
      <w:r>
        <w:rPr>
          <w:rFonts w:hint="eastAsia" w:ascii="宋体" w:hAnsi="宋体"/>
          <w:b/>
          <w:bCs/>
          <w:snapToGrid w:val="0"/>
          <w:kern w:val="0"/>
          <w:sz w:val="28"/>
          <w:szCs w:val="28"/>
          <w:lang w:eastAsia="zh-CN"/>
        </w:rPr>
        <w:t>：</w:t>
      </w:r>
    </w:p>
    <w:p w14:paraId="36F9137D">
      <w:pPr>
        <w:adjustRightInd w:val="0"/>
        <w:snapToGrid w:val="0"/>
        <w:spacing w:line="480" w:lineRule="exact"/>
        <w:jc w:val="center"/>
        <w:rPr>
          <w:rFonts w:hint="eastAsia" w:ascii="微软雅黑" w:hAnsi="微软雅黑" w:eastAsia="微软雅黑"/>
          <w:b/>
          <w:bCs/>
          <w:sz w:val="24"/>
          <w:szCs w:val="24"/>
        </w:rPr>
      </w:pPr>
      <w:r>
        <w:rPr>
          <w:rFonts w:hint="eastAsia" w:ascii="微软雅黑" w:hAnsi="微软雅黑" w:eastAsia="微软雅黑"/>
          <w:b/>
          <w:bCs/>
          <w:sz w:val="24"/>
          <w:szCs w:val="24"/>
        </w:rPr>
        <w:t>商务条款承诺</w:t>
      </w:r>
    </w:p>
    <w:p w14:paraId="5490EFC2">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一、</w:t>
      </w:r>
      <w:r>
        <w:rPr>
          <w:rFonts w:hint="eastAsia" w:ascii="微软雅黑" w:hAnsi="微软雅黑" w:eastAsia="微软雅黑"/>
          <w:b/>
          <w:bCs/>
          <w:szCs w:val="21"/>
        </w:rPr>
        <w:t>质量保证及售后服务</w:t>
      </w:r>
    </w:p>
    <w:p w14:paraId="2EFEFCC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保障项目维保质量，我公司特制定以下管理监督机制，承诺项目整体质量指标达到国家有关规范要求的同时满足贵公司提出的质量要求和使用要求。</w:t>
      </w:r>
    </w:p>
    <w:p w14:paraId="2CB27A8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根据公司维保人员岗位职责及有关规定，本项目有关质量管理、检验人员的管理职责、权限和关系为：</w:t>
      </w:r>
    </w:p>
    <w:p w14:paraId="7905BD9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维保部经理组织建立项目质量监督小组，负责项目维保质量的监督和抽查，并根据项目实施情况进行宏观调控；项目负责人组建项目部并落实相关技术人员，对维保质量全面负责，实行微观调控，并负责编制项目《维保工作计划》和《维护保养报告》，报公司总工程师审批和业主认可，然后在施工过程执行并逐步完善，同时负责质量的各种检验、评定。</w:t>
      </w:r>
    </w:p>
    <w:p w14:paraId="563CB375">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二、</w:t>
      </w:r>
      <w:r>
        <w:rPr>
          <w:rFonts w:hint="eastAsia" w:ascii="微软雅黑" w:hAnsi="微软雅黑" w:eastAsia="微软雅黑"/>
          <w:b/>
          <w:bCs/>
          <w:szCs w:val="21"/>
        </w:rPr>
        <w:t>质量监督制度</w:t>
      </w:r>
    </w:p>
    <w:p w14:paraId="6B12AA2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一</w:t>
      </w:r>
      <w:r>
        <w:rPr>
          <w:rFonts w:hint="eastAsia" w:ascii="微软雅黑" w:hAnsi="微软雅黑" w:eastAsia="微软雅黑"/>
          <w:szCs w:val="21"/>
          <w:lang w:eastAsia="zh-CN"/>
        </w:rPr>
        <w:t>）</w:t>
      </w:r>
      <w:r>
        <w:rPr>
          <w:rFonts w:hint="eastAsia" w:ascii="微软雅黑" w:hAnsi="微软雅黑" w:eastAsia="微软雅黑"/>
          <w:szCs w:val="21"/>
        </w:rPr>
        <w:t>公司维保部定期或不定期对各项目实施情况进行检查，并对项目系统运行情况进行抽检，及时发现问题；</w:t>
      </w:r>
    </w:p>
    <w:p w14:paraId="3D078CD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二</w:t>
      </w:r>
      <w:r>
        <w:rPr>
          <w:rFonts w:hint="eastAsia" w:ascii="微软雅黑" w:hAnsi="微软雅黑" w:eastAsia="微软雅黑"/>
          <w:szCs w:val="21"/>
          <w:lang w:eastAsia="zh-CN"/>
        </w:rPr>
        <w:t>）</w:t>
      </w:r>
      <w:r>
        <w:rPr>
          <w:rFonts w:hint="eastAsia" w:ascii="微软雅黑" w:hAnsi="微软雅黑" w:eastAsia="微软雅黑"/>
          <w:szCs w:val="21"/>
        </w:rPr>
        <w:t>由维保部与业主接触，以洽谈等各种方式了解业主的需求，并对这些要求加以分析，整理，汇总；</w:t>
      </w:r>
    </w:p>
    <w:p w14:paraId="6661C8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三</w:t>
      </w:r>
      <w:r>
        <w:rPr>
          <w:rFonts w:hint="eastAsia" w:ascii="微软雅黑" w:hAnsi="微软雅黑" w:eastAsia="微软雅黑"/>
          <w:szCs w:val="21"/>
          <w:lang w:eastAsia="zh-CN"/>
        </w:rPr>
        <w:t>）</w:t>
      </w:r>
      <w:r>
        <w:rPr>
          <w:rFonts w:hint="eastAsia" w:ascii="微软雅黑" w:hAnsi="微软雅黑" w:eastAsia="微软雅黑"/>
          <w:szCs w:val="21"/>
        </w:rPr>
        <w:t>维保部随时接受来自各方面的投诉并记录，每季度向业主发出《消防维保工程满意度调查表》，收集业主对我司消防维护保养工作中关于工作过程、质量控制、技术服务等方面的意见和建议；</w:t>
      </w:r>
    </w:p>
    <w:p w14:paraId="4DB736A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四</w:t>
      </w:r>
      <w:r>
        <w:rPr>
          <w:rFonts w:hint="eastAsia" w:ascii="微软雅黑" w:hAnsi="微软雅黑" w:eastAsia="微软雅黑"/>
          <w:szCs w:val="21"/>
          <w:lang w:eastAsia="zh-CN"/>
        </w:rPr>
        <w:t>）</w:t>
      </w:r>
      <w:r>
        <w:rPr>
          <w:rFonts w:hint="eastAsia" w:ascii="微软雅黑" w:hAnsi="微软雅黑" w:eastAsia="微软雅黑"/>
          <w:szCs w:val="21"/>
        </w:rPr>
        <w:t>业主配合人员对现场原始记录表格进行签名审核；</w:t>
      </w:r>
    </w:p>
    <w:p w14:paraId="7AE3A94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五</w:t>
      </w:r>
      <w:r>
        <w:rPr>
          <w:rFonts w:hint="eastAsia" w:ascii="微软雅黑" w:hAnsi="微软雅黑" w:eastAsia="微软雅黑"/>
          <w:szCs w:val="21"/>
          <w:lang w:eastAsia="zh-CN"/>
        </w:rPr>
        <w:t>）</w:t>
      </w:r>
      <w:r>
        <w:rPr>
          <w:rFonts w:hint="eastAsia" w:ascii="微软雅黑" w:hAnsi="微软雅黑" w:eastAsia="微软雅黑"/>
          <w:szCs w:val="21"/>
        </w:rPr>
        <w:t>在送达《维护保养报告》及《维保工作计划》的同时，将请业主在季报、季度方案审批表中签署意见；</w:t>
      </w:r>
    </w:p>
    <w:p w14:paraId="34EBC77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六</w:t>
      </w:r>
      <w:r>
        <w:rPr>
          <w:rFonts w:hint="eastAsia" w:ascii="微软雅黑" w:hAnsi="微软雅黑" w:eastAsia="微软雅黑"/>
          <w:szCs w:val="21"/>
          <w:lang w:eastAsia="zh-CN"/>
        </w:rPr>
        <w:t>）</w:t>
      </w:r>
      <w:r>
        <w:rPr>
          <w:rFonts w:hint="eastAsia" w:ascii="微软雅黑" w:hAnsi="微软雅黑" w:eastAsia="微软雅黑"/>
          <w:szCs w:val="21"/>
        </w:rPr>
        <w:t>对一般性问题，根据情况责成项目部确定维修方案，并组织人员实施，完工后，由业主确认完成；</w:t>
      </w:r>
    </w:p>
    <w:p w14:paraId="7F0C362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七</w:t>
      </w:r>
      <w:r>
        <w:rPr>
          <w:rFonts w:hint="eastAsia" w:ascii="微软雅黑" w:hAnsi="微软雅黑" w:eastAsia="微软雅黑"/>
          <w:szCs w:val="21"/>
          <w:lang w:eastAsia="zh-CN"/>
        </w:rPr>
        <w:t>）</w:t>
      </w:r>
      <w:r>
        <w:rPr>
          <w:rFonts w:hint="eastAsia" w:ascii="微软雅黑" w:hAnsi="微软雅黑" w:eastAsia="微软雅黑"/>
          <w:szCs w:val="21"/>
        </w:rPr>
        <w:t>对于重大问题，项目部专业技术人员将信息及时、准确地向总工程师反馈、汇报，由总工程师组织公司相关部门讨论分析，确定维修方案并及时上报甲方，经甲方同意后组织落实。</w:t>
      </w:r>
      <w:bookmarkStart w:id="53" w:name="_Toc445898177"/>
    </w:p>
    <w:p w14:paraId="6ECEA56B">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三、</w:t>
      </w:r>
      <w:r>
        <w:rPr>
          <w:rFonts w:hint="eastAsia" w:ascii="微软雅黑" w:hAnsi="微软雅黑" w:eastAsia="微软雅黑"/>
          <w:b/>
          <w:bCs/>
          <w:szCs w:val="21"/>
        </w:rPr>
        <w:t>安全保障措施</w:t>
      </w:r>
      <w:bookmarkEnd w:id="53"/>
    </w:p>
    <w:p w14:paraId="4056136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（一）</w:t>
      </w:r>
      <w:r>
        <w:rPr>
          <w:rFonts w:hint="eastAsia" w:ascii="微软雅黑" w:hAnsi="微软雅黑" w:eastAsia="微软雅黑"/>
          <w:szCs w:val="21"/>
        </w:rPr>
        <w:t>基本安全措施</w:t>
      </w:r>
    </w:p>
    <w:p w14:paraId="6C3E06C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1.项目所有进场人员进场前均进行安全教育，并经考试合格后方可进入现场进行维护保养，否则不许进场；</w:t>
      </w:r>
    </w:p>
    <w:p w14:paraId="4A8967C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贯彻执行国家、行业的安全生产、劳动保护和消防维护工作的各类法规、条例、规定；遵守企业的各项安全生产制度、规定和要求；</w:t>
      </w:r>
    </w:p>
    <w:p w14:paraId="5708F9D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严格遵守公司维护作业流程和甲方有关规章制度，服从甲方现场管理；</w:t>
      </w:r>
    </w:p>
    <w:p w14:paraId="296BAF3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w:t>
      </w:r>
      <w:r>
        <w:rPr>
          <w:rFonts w:hint="eastAsia" w:ascii="微软雅黑" w:hAnsi="微软雅黑" w:eastAsia="微软雅黑"/>
          <w:szCs w:val="21"/>
          <w:lang w:val="en-US" w:eastAsia="zh-CN"/>
        </w:rPr>
        <w:t>.</w:t>
      </w:r>
      <w:r>
        <w:rPr>
          <w:rFonts w:hint="eastAsia" w:ascii="微软雅黑" w:hAnsi="微软雅黑" w:eastAsia="微软雅黑"/>
          <w:szCs w:val="21"/>
        </w:rPr>
        <w:t>进入设备维保现场，严禁穿拖鞋、裙子、打赤脚和光脚作业；</w:t>
      </w:r>
    </w:p>
    <w:p w14:paraId="5FA656F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hint="eastAsia" w:ascii="微软雅黑" w:hAnsi="微软雅黑" w:eastAsia="微软雅黑"/>
          <w:szCs w:val="21"/>
          <w:lang w:val="en-US" w:eastAsia="zh-CN"/>
        </w:rPr>
        <w:t>.</w:t>
      </w:r>
      <w:r>
        <w:rPr>
          <w:rFonts w:hint="eastAsia" w:ascii="微软雅黑" w:hAnsi="微软雅黑" w:eastAsia="微软雅黑"/>
          <w:szCs w:val="21"/>
        </w:rPr>
        <w:t>高空作业前仔细检查登高器具及防护用品，作业时系好安全带。</w:t>
      </w:r>
    </w:p>
    <w:p w14:paraId="6DE3704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（二）</w:t>
      </w:r>
      <w:r>
        <w:rPr>
          <w:rFonts w:hint="eastAsia" w:ascii="微软雅黑" w:hAnsi="微软雅黑" w:eastAsia="微软雅黑"/>
          <w:szCs w:val="21"/>
        </w:rPr>
        <w:t>用电、防火安全措施</w:t>
      </w:r>
    </w:p>
    <w:p w14:paraId="2316911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w:t>
      </w:r>
      <w:r>
        <w:rPr>
          <w:rFonts w:hint="eastAsia" w:ascii="微软雅黑" w:hAnsi="微软雅黑" w:eastAsia="微软雅黑"/>
          <w:szCs w:val="21"/>
        </w:rPr>
        <w:t>电工作业应由具备电工上岗证人员担任，不许带电作业；</w:t>
      </w:r>
    </w:p>
    <w:p w14:paraId="07A66C4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2.电气设备和电动工具，必须保证绝缘良好，各种电动工具必须按规定接零接地，临时停电或停工休息，必须拉闸加锁；</w:t>
      </w:r>
    </w:p>
    <w:p w14:paraId="5EF9154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用电应取得甲方同意，在指定配电箱搭设，严禁私自乱搭乱拉；</w:t>
      </w:r>
    </w:p>
    <w:p w14:paraId="59A9809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w:t>
      </w:r>
      <w:r>
        <w:rPr>
          <w:rFonts w:hint="eastAsia" w:ascii="微软雅黑" w:hAnsi="微软雅黑" w:eastAsia="微软雅黑"/>
          <w:szCs w:val="21"/>
          <w:lang w:val="en-US" w:eastAsia="zh-CN"/>
        </w:rPr>
        <w:t>.</w:t>
      </w:r>
      <w:r>
        <w:rPr>
          <w:rFonts w:hint="eastAsia" w:ascii="微软雅黑" w:hAnsi="微软雅黑" w:eastAsia="微软雅黑"/>
          <w:szCs w:val="21"/>
        </w:rPr>
        <w:t>接插座用电应有插头，杜绝用电线端头直接插入插头用电。</w:t>
      </w:r>
    </w:p>
    <w:p w14:paraId="3B2557A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（三）</w:t>
      </w:r>
      <w:r>
        <w:rPr>
          <w:rFonts w:hint="eastAsia" w:ascii="微软雅黑" w:hAnsi="微软雅黑" w:eastAsia="微软雅黑"/>
          <w:szCs w:val="21"/>
        </w:rPr>
        <w:t>维护设备安全保护措施</w:t>
      </w:r>
    </w:p>
    <w:p w14:paraId="697550F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w:t>
      </w:r>
      <w:r>
        <w:rPr>
          <w:rFonts w:hint="eastAsia" w:ascii="微软雅黑" w:hAnsi="微软雅黑" w:eastAsia="微软雅黑"/>
          <w:szCs w:val="21"/>
        </w:rPr>
        <w:t>现场作业小心谨慎，杜绝野蛮作业；</w:t>
      </w:r>
    </w:p>
    <w:p w14:paraId="4B1AA41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现场作业注意防尘，防落物；</w:t>
      </w:r>
    </w:p>
    <w:p w14:paraId="0DC537E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3.高空作业时至少要有两人配合，防止梯子打滑、倾倒；</w:t>
      </w:r>
    </w:p>
    <w:p w14:paraId="26234EE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w:t>
      </w:r>
      <w:r>
        <w:rPr>
          <w:rFonts w:hint="eastAsia" w:ascii="微软雅黑" w:hAnsi="微软雅黑" w:eastAsia="微软雅黑"/>
          <w:szCs w:val="21"/>
          <w:lang w:val="en-US" w:eastAsia="zh-CN"/>
        </w:rPr>
        <w:t>.</w:t>
      </w:r>
      <w:r>
        <w:rPr>
          <w:rFonts w:hint="eastAsia" w:ascii="微软雅黑" w:hAnsi="微软雅黑" w:eastAsia="微软雅黑"/>
          <w:szCs w:val="21"/>
        </w:rPr>
        <w:t>作业前做好现场设备防护，不损坏、污染设备；</w:t>
      </w:r>
    </w:p>
    <w:p w14:paraId="7584513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hint="eastAsia" w:ascii="微软雅黑" w:hAnsi="微软雅黑" w:eastAsia="微软雅黑"/>
          <w:szCs w:val="21"/>
          <w:lang w:val="en-US" w:eastAsia="zh-CN"/>
        </w:rPr>
        <w:t>.</w:t>
      </w:r>
      <w:r>
        <w:rPr>
          <w:rFonts w:hint="eastAsia" w:ascii="微软雅黑" w:hAnsi="微软雅黑" w:eastAsia="微软雅黑"/>
          <w:szCs w:val="21"/>
        </w:rPr>
        <w:t>拆卸、安装防护区喷头完毕后，将吊顶恢复原状；</w:t>
      </w:r>
    </w:p>
    <w:p w14:paraId="1314667F">
      <w:pPr>
        <w:adjustRightInd w:val="0"/>
        <w:snapToGrid w:val="0"/>
        <w:spacing w:line="480" w:lineRule="exact"/>
        <w:ind w:firstLine="420" w:firstLineChars="200"/>
        <w:rPr>
          <w:rFonts w:hint="eastAsia" w:ascii="微软雅黑" w:hAnsi="微软雅黑" w:eastAsia="微软雅黑"/>
          <w:szCs w:val="21"/>
        </w:rPr>
        <w:sectPr>
          <w:headerReference r:id="rId9" w:type="default"/>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decimal" w:start="1"/>
          <w:cols w:space="720" w:num="1"/>
          <w:docGrid w:linePitch="380" w:charSpace="-5735"/>
        </w:sectPr>
      </w:pPr>
      <w:r>
        <w:rPr>
          <w:rFonts w:hint="eastAsia" w:ascii="微软雅黑" w:hAnsi="微软雅黑" w:eastAsia="微软雅黑"/>
          <w:szCs w:val="21"/>
        </w:rPr>
        <w:t>6</w:t>
      </w:r>
      <w:r>
        <w:rPr>
          <w:rFonts w:hint="eastAsia" w:ascii="微软雅黑" w:hAnsi="微软雅黑" w:eastAsia="微软雅黑"/>
          <w:szCs w:val="21"/>
          <w:lang w:val="en-US" w:eastAsia="zh-CN"/>
        </w:rPr>
        <w:t>.</w:t>
      </w:r>
      <w:r>
        <w:rPr>
          <w:rFonts w:hint="eastAsia" w:ascii="微软雅黑" w:hAnsi="微软雅黑" w:eastAsia="微软雅黑"/>
          <w:szCs w:val="21"/>
        </w:rPr>
        <w:t>测试前对气体设备加以保护(电磁阀上保险销,撤除电磁阀电源线)确认无误后,开始测试。</w:t>
      </w:r>
    </w:p>
    <w:p w14:paraId="7447378B">
      <w:pPr>
        <w:spacing w:line="560" w:lineRule="exact"/>
        <w:jc w:val="both"/>
        <w:rPr>
          <w:rFonts w:hint="default"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附件2：</w:t>
      </w:r>
    </w:p>
    <w:p w14:paraId="30A8FA8E">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b/>
          <w:bCs/>
          <w:sz w:val="24"/>
          <w:szCs w:val="24"/>
          <w:lang w:val="en-US" w:eastAsia="zh-CN"/>
        </w:rPr>
        <w:t>消防系统维保方案</w:t>
      </w:r>
    </w:p>
    <w:p w14:paraId="7F0125B7">
      <w:pPr>
        <w:spacing w:line="560" w:lineRule="exact"/>
        <w:jc w:val="both"/>
        <w:rPr>
          <w:rFonts w:hint="eastAsia" w:ascii="Times New Roman" w:hAnsi="Times New Roman" w:eastAsia="宋体" w:cs="Times New Roman"/>
          <w:b/>
          <w:bCs/>
          <w:kern w:val="2"/>
          <w:sz w:val="32"/>
          <w:szCs w:val="21"/>
          <w:lang w:val="en-US" w:eastAsia="zh-CN" w:bidi="ar-SA"/>
        </w:rPr>
      </w:pPr>
      <w:r>
        <w:rPr>
          <w:rFonts w:hint="eastAsia" w:ascii="微软雅黑" w:hAnsi="微软雅黑" w:eastAsia="微软雅黑"/>
          <w:szCs w:val="21"/>
          <w:lang w:val="en-US" w:eastAsia="zh-CN"/>
        </w:rPr>
        <w:t>/</w:t>
      </w:r>
      <w:r>
        <w:rPr>
          <w:rFonts w:hint="eastAsia" w:ascii="宋体" w:hAnsi="宋体"/>
          <w:sz w:val="24"/>
          <w:szCs w:val="24"/>
        </w:rPr>
        <w:br w:type="page"/>
      </w:r>
      <w:r>
        <w:rPr>
          <w:rFonts w:hint="eastAsia" w:ascii="宋体" w:hAnsi="宋体"/>
          <w:b/>
          <w:bCs/>
          <w:snapToGrid w:val="0"/>
          <w:kern w:val="0"/>
          <w:sz w:val="28"/>
          <w:szCs w:val="28"/>
          <w:lang w:val="en-US" w:eastAsia="zh-CN"/>
        </w:rPr>
        <w:t>附件3</w:t>
      </w:r>
    </w:p>
    <w:p w14:paraId="4C03E6A8">
      <w:pPr>
        <w:adjustRightInd w:val="0"/>
        <w:snapToGrid w:val="0"/>
        <w:spacing w:line="480" w:lineRule="exact"/>
        <w:jc w:val="center"/>
        <w:rPr>
          <w:rFonts w:hint="eastAsia" w:ascii="微软雅黑" w:hAnsi="微软雅黑" w:eastAsia="微软雅黑"/>
          <w:b/>
          <w:bCs/>
          <w:sz w:val="24"/>
          <w:szCs w:val="24"/>
        </w:rPr>
      </w:pPr>
      <w:r>
        <w:rPr>
          <w:rFonts w:hint="eastAsia" w:ascii="微软雅黑" w:hAnsi="微软雅黑" w:eastAsia="微软雅黑"/>
          <w:b/>
          <w:bCs/>
          <w:sz w:val="24"/>
          <w:szCs w:val="24"/>
        </w:rPr>
        <w:t>《维保质量承诺书》</w:t>
      </w:r>
    </w:p>
    <w:p w14:paraId="0ED804E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为保证消防设施维保工作质量，维修保养公司的管理工作应按照ISO9001／2000质量体系认证标准进行。依重庆地方标准《建筑消防设施工程质量检验规程》、《建筑消防设施维修保养守则》的要求，做好甲方消防设施维保工作。</w:t>
      </w:r>
    </w:p>
    <w:p w14:paraId="6145624F">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一、严格执行《维保工作方案》和市职能部门制定的《建筑消防设施维修保养守则》。</w:t>
      </w:r>
    </w:p>
    <w:p w14:paraId="4DD2A8E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二、维保队长是质量第一责任人，对维保工作质量负责检查，要求维保工作质量达到标准。责任工程师对各队维保工作质量进行检查、监督。</w:t>
      </w:r>
    </w:p>
    <w:p w14:paraId="2372EA43">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三、接受消防招标方的监督，确保消防设施的维保质量，保障消防设施的运行完好可靠率达到98%以上。</w:t>
      </w:r>
    </w:p>
    <w:p w14:paraId="789902E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四、在维修过程中对元器件的更换，维修保养公司应报本单位技术部鉴定批准，经甲方检查认可后方可更换。杜绝元器件的浪费，节约甲方的维修材料费用。</w:t>
      </w:r>
    </w:p>
    <w:p w14:paraId="124FBD1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b/>
          <w:bCs/>
          <w:szCs w:val="21"/>
        </w:rPr>
        <w:t>五、建筑消防设施主要检测项目和标准如下（按重庆地方标准DB50/24-1999）</w:t>
      </w:r>
      <w:r>
        <w:rPr>
          <w:rFonts w:hint="eastAsia" w:ascii="微软雅黑" w:hAnsi="微软雅黑" w:eastAsia="微软雅黑"/>
          <w:szCs w:val="21"/>
        </w:rPr>
        <w:t>：</w:t>
      </w:r>
    </w:p>
    <w:p w14:paraId="2307A752">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（一）火灾自动报警系统</w:t>
      </w:r>
    </w:p>
    <w:p w14:paraId="588E3EC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1.线路</w:t>
      </w:r>
    </w:p>
    <w:p w14:paraId="5FAA148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1.1绝缘电阻（光欧表）</w:t>
      </w:r>
    </w:p>
    <w:p w14:paraId="66E1BE1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系统每个回路对地绝缘电阻和导线间绝缘电阻不小于20MΩ。</w:t>
      </w:r>
    </w:p>
    <w:p w14:paraId="0916290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1.2接地电阻（接地电阻测试仪器——摇表）</w:t>
      </w:r>
    </w:p>
    <w:p w14:paraId="0BC215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工作接地电阻单独接地时应小于4Ω，共用接地时应小于1Ω。</w:t>
      </w:r>
    </w:p>
    <w:p w14:paraId="2197BF0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2.火灾探测器（便携式火灾探测器试验器）</w:t>
      </w:r>
    </w:p>
    <w:p w14:paraId="57B19F8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探测器响应阀达到预定值时，探测器应输出火警信号。当探测器连线短路或底座脱离时，应输出故障信号。</w:t>
      </w:r>
    </w:p>
    <w:p w14:paraId="7F95BDF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3.手动火灾报警按钮</w:t>
      </w:r>
    </w:p>
    <w:p w14:paraId="47CA45D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3.1从一个防火分区的任何位置到最近的一个手动报警阀的距离不应大于30m。（0~50m卷尺）</w:t>
      </w:r>
    </w:p>
    <w:p w14:paraId="15B1AC0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3.2启动报警按钮，应输出火灾报警信号，直到启动部位复原，报警按钮方可恢复原状态。</w:t>
      </w:r>
    </w:p>
    <w:p w14:paraId="5B7AC33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4.控制器</w:t>
      </w:r>
    </w:p>
    <w:p w14:paraId="1A4C33D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4.1报警音响，在预定工作电压下，距离音响件中心1m处，音响器件的声压级应在85~115dB.</w:t>
      </w:r>
    </w:p>
    <w:p w14:paraId="46587C6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4.2控制器基本功能试验正常。</w:t>
      </w:r>
    </w:p>
    <w:p w14:paraId="1B40199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a.报警功能</w:t>
      </w:r>
    </w:p>
    <w:p w14:paraId="79039A4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b.二次报警</w:t>
      </w:r>
    </w:p>
    <w:p w14:paraId="7B7F96C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c.故障报警</w:t>
      </w:r>
    </w:p>
    <w:p w14:paraId="604FB9C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d.自检功能</w:t>
      </w:r>
    </w:p>
    <w:p w14:paraId="4DBE1B1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e.火灾优先功能</w:t>
      </w:r>
      <w:r>
        <w:rPr>
          <w:rFonts w:hint="eastAsia" w:ascii="微软雅黑" w:hAnsi="微软雅黑" w:eastAsia="微软雅黑"/>
          <w:szCs w:val="21"/>
        </w:rPr>
        <w:tab/>
      </w:r>
    </w:p>
    <w:p w14:paraId="6A3B804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f.、记忆功能</w:t>
      </w:r>
    </w:p>
    <w:p w14:paraId="6A3101A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g.消音、复位功能</w:t>
      </w:r>
    </w:p>
    <w:p w14:paraId="7DAAC14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h.电源转换功能</w:t>
      </w:r>
      <w:r>
        <w:rPr>
          <w:rFonts w:hint="eastAsia" w:ascii="微软雅黑" w:hAnsi="微软雅黑" w:eastAsia="微软雅黑"/>
          <w:szCs w:val="21"/>
        </w:rPr>
        <w:tab/>
      </w:r>
    </w:p>
    <w:p w14:paraId="7D00142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5.电源指示灯功能</w:t>
      </w:r>
    </w:p>
    <w:p w14:paraId="404F854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5.1备用电源自动充电，容量和性能满足峰值工作。</w:t>
      </w:r>
    </w:p>
    <w:p w14:paraId="65AF31B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5.2在额定工作电压下，微机、显示器和打印机均正常。</w:t>
      </w:r>
    </w:p>
    <w:p w14:paraId="6FF60E9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（二）火灾事故广播、消防通讯、消防电梯及消防联动控制设备</w:t>
      </w:r>
    </w:p>
    <w:p w14:paraId="02C2DE6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1.广播</w:t>
      </w:r>
    </w:p>
    <w:p w14:paraId="453C645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1.1广播扬声器的额定功率不应小于3W，本层楼内任何部位距广播扬声器的距离不应大于25m，扬声器在其播放范围内最远点的声压级应高于背景噪声15dB。</w:t>
      </w:r>
    </w:p>
    <w:p w14:paraId="10A596E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1.2广播强制切换功能、选层广播、功放容量均正常。</w:t>
      </w:r>
    </w:p>
    <w:p w14:paraId="7461A1A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2.通讯功能正常、语音清晰（包括外线119）。</w:t>
      </w:r>
    </w:p>
    <w:p w14:paraId="049F223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3.讯响器报警功能正常，声压级应大于背景噪声15dB。</w:t>
      </w:r>
    </w:p>
    <w:p w14:paraId="0352A1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4.消防电梯在消防控制室可对电梯自动或手动迫降至首层，处于待用状态，并有反馈信号。首层应设消防控制室专用的操作按钮。轿厢内应设专用电话。</w:t>
      </w:r>
    </w:p>
    <w:p w14:paraId="43ED75F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5.消防联动控制设备的主要部件性能应满足设计要求，动作准确无误。</w:t>
      </w:r>
    </w:p>
    <w:p w14:paraId="47EDD2AB">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（三）火灾应急照明及安全疏散指示</w:t>
      </w:r>
    </w:p>
    <w:p w14:paraId="790A176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1.火灾应急照明</w:t>
      </w:r>
    </w:p>
    <w:p w14:paraId="49BEED5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1.1应急工作时间应不小于30min，应有过充电放电保护。</w:t>
      </w:r>
    </w:p>
    <w:p w14:paraId="0DFA0A0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1.2应急照明照度，最低照度要求如下表：</w:t>
      </w:r>
    </w:p>
    <w:tbl>
      <w:tblPr>
        <w:tblStyle w:val="39"/>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095"/>
        <w:gridCol w:w="1125"/>
        <w:gridCol w:w="990"/>
        <w:gridCol w:w="1035"/>
        <w:gridCol w:w="1320"/>
        <w:gridCol w:w="1230"/>
        <w:gridCol w:w="1035"/>
      </w:tblGrid>
      <w:tr w14:paraId="003A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noWrap w:val="0"/>
            <w:vAlign w:val="center"/>
          </w:tcPr>
          <w:p w14:paraId="5834D51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部位</w:t>
            </w:r>
          </w:p>
        </w:tc>
        <w:tc>
          <w:tcPr>
            <w:tcW w:w="1095" w:type="dxa"/>
            <w:noWrap w:val="0"/>
            <w:vAlign w:val="center"/>
          </w:tcPr>
          <w:p w14:paraId="0DB5A0E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消防</w:t>
            </w:r>
          </w:p>
          <w:p w14:paraId="53CE3AE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控制室</w:t>
            </w:r>
          </w:p>
        </w:tc>
        <w:tc>
          <w:tcPr>
            <w:tcW w:w="1125" w:type="dxa"/>
            <w:noWrap w:val="0"/>
            <w:vAlign w:val="center"/>
          </w:tcPr>
          <w:p w14:paraId="54827A5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消防</w:t>
            </w:r>
          </w:p>
          <w:p w14:paraId="566ECB0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水泵房</w:t>
            </w:r>
          </w:p>
        </w:tc>
        <w:tc>
          <w:tcPr>
            <w:tcW w:w="990" w:type="dxa"/>
            <w:noWrap w:val="0"/>
            <w:vAlign w:val="center"/>
          </w:tcPr>
          <w:p w14:paraId="4F138BD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防排</w:t>
            </w:r>
          </w:p>
          <w:p w14:paraId="01B4315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烟机房</w:t>
            </w:r>
          </w:p>
        </w:tc>
        <w:tc>
          <w:tcPr>
            <w:tcW w:w="1035" w:type="dxa"/>
            <w:noWrap w:val="0"/>
            <w:vAlign w:val="center"/>
          </w:tcPr>
          <w:p w14:paraId="7699460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配电房</w:t>
            </w:r>
          </w:p>
        </w:tc>
        <w:tc>
          <w:tcPr>
            <w:tcW w:w="1320" w:type="dxa"/>
            <w:noWrap w:val="0"/>
            <w:vAlign w:val="center"/>
          </w:tcPr>
          <w:p w14:paraId="2017E13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自动</w:t>
            </w:r>
          </w:p>
          <w:p w14:paraId="0AC4715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发电机房</w:t>
            </w:r>
          </w:p>
        </w:tc>
        <w:tc>
          <w:tcPr>
            <w:tcW w:w="1230" w:type="dxa"/>
            <w:noWrap w:val="0"/>
            <w:vAlign w:val="center"/>
          </w:tcPr>
          <w:p w14:paraId="21767E7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电话</w:t>
            </w:r>
          </w:p>
          <w:p w14:paraId="0F91D2D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总机房</w:t>
            </w:r>
          </w:p>
        </w:tc>
        <w:tc>
          <w:tcPr>
            <w:tcW w:w="1035" w:type="dxa"/>
            <w:noWrap w:val="0"/>
            <w:vAlign w:val="center"/>
          </w:tcPr>
          <w:p w14:paraId="41CC7F1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疏散</w:t>
            </w:r>
          </w:p>
          <w:p w14:paraId="0415D3F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照明</w:t>
            </w:r>
          </w:p>
        </w:tc>
      </w:tr>
      <w:tr w14:paraId="4B1C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noWrap w:val="0"/>
            <w:vAlign w:val="center"/>
          </w:tcPr>
          <w:p w14:paraId="04B78233">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照度（Lx）</w:t>
            </w:r>
          </w:p>
        </w:tc>
        <w:tc>
          <w:tcPr>
            <w:tcW w:w="1095" w:type="dxa"/>
            <w:noWrap w:val="0"/>
            <w:vAlign w:val="center"/>
          </w:tcPr>
          <w:p w14:paraId="04CDBC9D">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150</w:t>
            </w:r>
          </w:p>
        </w:tc>
        <w:tc>
          <w:tcPr>
            <w:tcW w:w="1125" w:type="dxa"/>
            <w:noWrap w:val="0"/>
            <w:vAlign w:val="center"/>
          </w:tcPr>
          <w:p w14:paraId="337FAA0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w:t>
            </w:r>
          </w:p>
        </w:tc>
        <w:tc>
          <w:tcPr>
            <w:tcW w:w="990" w:type="dxa"/>
            <w:noWrap w:val="0"/>
            <w:vAlign w:val="center"/>
          </w:tcPr>
          <w:p w14:paraId="27EF7C7C">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w:t>
            </w:r>
          </w:p>
        </w:tc>
        <w:tc>
          <w:tcPr>
            <w:tcW w:w="1035" w:type="dxa"/>
            <w:noWrap w:val="0"/>
            <w:vAlign w:val="center"/>
          </w:tcPr>
          <w:p w14:paraId="308ECB65">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30</w:t>
            </w:r>
          </w:p>
        </w:tc>
        <w:tc>
          <w:tcPr>
            <w:tcW w:w="1320" w:type="dxa"/>
            <w:noWrap w:val="0"/>
            <w:vAlign w:val="center"/>
          </w:tcPr>
          <w:p w14:paraId="5CCE3148">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w:t>
            </w:r>
          </w:p>
        </w:tc>
        <w:tc>
          <w:tcPr>
            <w:tcW w:w="1230" w:type="dxa"/>
            <w:noWrap w:val="0"/>
            <w:vAlign w:val="center"/>
          </w:tcPr>
          <w:p w14:paraId="2724090E">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25</w:t>
            </w:r>
          </w:p>
        </w:tc>
        <w:tc>
          <w:tcPr>
            <w:tcW w:w="1035" w:type="dxa"/>
            <w:noWrap w:val="0"/>
            <w:vAlign w:val="center"/>
          </w:tcPr>
          <w:p w14:paraId="02D4646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0.5</w:t>
            </w:r>
          </w:p>
        </w:tc>
      </w:tr>
    </w:tbl>
    <w:p w14:paraId="6567896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2.疏散指示灯</w:t>
      </w:r>
    </w:p>
    <w:p w14:paraId="26504BB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2.1应急转换正常，转换时间不应大于5秒，并能连续转换10次。</w:t>
      </w:r>
    </w:p>
    <w:p w14:paraId="72967F4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2.2灯前1m通道中心点上照度不应小于1.0Lx。</w:t>
      </w:r>
    </w:p>
    <w:p w14:paraId="3EAC47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（四）自动灭火系统</w:t>
      </w:r>
    </w:p>
    <w:p w14:paraId="48CC34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1.消防给水</w:t>
      </w:r>
    </w:p>
    <w:p w14:paraId="072360C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1.1消防给水功能（储水、稳压、控制消防主泵启动）满足设计要求，运行工况的压力状态显示准确及必要的报警。</w:t>
      </w:r>
    </w:p>
    <w:p w14:paraId="2392994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1.2设备电源应采用消防电源。</w:t>
      </w:r>
    </w:p>
    <w:p w14:paraId="083EF8D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1.3泵的启动</w:t>
      </w:r>
    </w:p>
    <w:p w14:paraId="3FB8C70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a.手动：就地、远距离（任意消火栓按钮等）及控制中心均可及时启动；</w:t>
      </w:r>
    </w:p>
    <w:p w14:paraId="451BBEA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b.自动：自动喷淋，高层消火栓系统等启用时均可在5min内联动消防泵</w:t>
      </w:r>
    </w:p>
    <w:p w14:paraId="34CBA89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启动。</w:t>
      </w:r>
    </w:p>
    <w:p w14:paraId="4BE063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2.备用泵及备用电源均能自动切换，且保证消防泵在1.5min内投入运行。</w:t>
      </w:r>
    </w:p>
    <w:p w14:paraId="126ECFE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3.自动喷水灭火系统</w:t>
      </w:r>
    </w:p>
    <w:p w14:paraId="6FE605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3.1湿式报警阀组</w:t>
      </w:r>
    </w:p>
    <w:p w14:paraId="559894C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a.报警阀词应状态时，延迟器无出水。</w:t>
      </w:r>
    </w:p>
    <w:p w14:paraId="742758B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b.报警阀动作后，5~90S内水力警铃应开始连续报警，压力开关应能报警，并启动消防水泵，且消防联动控制盘应有显示；同时距水力警铃3m处，警铃声响不小于70dB。</w:t>
      </w:r>
    </w:p>
    <w:p w14:paraId="514F7AD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c.报警阀复位后，水力警铃应停止报警；压力开关并应停止动作；延迟器应能自动排水，且排水时间应不超过5min。</w:t>
      </w:r>
    </w:p>
    <w:p w14:paraId="7EC1349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3.2水流指示器：前后直管段长度≥5倍管径，开启末端试水装置，水流指示器应报警，且在消防控制室内显示。</w:t>
      </w:r>
    </w:p>
    <w:p w14:paraId="1DF6B3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3.3信号阀：开、关信号阀，消防控制室有启、闭显示。</w:t>
      </w:r>
    </w:p>
    <w:p w14:paraId="053B3BC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3.4雨淋阀组：分别用手动、自动、应急操作三种方式对雨淋阀组进行操作，其报警、显示、联动等功能正常，余类同湿式报警阀组。</w:t>
      </w:r>
    </w:p>
    <w:p w14:paraId="27485FD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3.5系统最不利处末端试水阀打开后，压力≮0.049Mpa，流量宜为0.94~1.5L/S。</w:t>
      </w:r>
    </w:p>
    <w:p w14:paraId="51574C0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3.6试水阀打开后水流指示器动作并准确输出报警信号，水力警铃连续报警，压力开关动作并启动消防泵，消防控制中心应有显示（包括泵的启动信号）。</w:t>
      </w:r>
    </w:p>
    <w:p w14:paraId="60D70BF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4.室内消火栓系统</w:t>
      </w:r>
    </w:p>
    <w:p w14:paraId="7E88C44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4.1启动消火栓按钮，消防联动控制盘应收到报警信号，并显示部位，同时应能启动消防水泵。</w:t>
      </w:r>
    </w:p>
    <w:p w14:paraId="6630B56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4.2当建筑高度不超过100米时，最不利点消火栓静水压力不低于0.07Mpa；当建筑高度超过100米时，应不低于0.15Mpa。</w:t>
      </w:r>
    </w:p>
    <w:p w14:paraId="5430D2B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4.3每分区最低层消火栓栓口的静水压力不大于0.8Mpa，消火栓栓口出水压力应不大于0.5Mpa。</w:t>
      </w:r>
    </w:p>
    <w:p w14:paraId="774CB93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4.4消火栓的充实水柱当高层建筑高度不超过100米时，应不小于10米；建筑高度超过100米时，应不小于13米。每支水枪的流量为4.6~5.7L/S。</w:t>
      </w:r>
    </w:p>
    <w:p w14:paraId="62F99D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5.气体灭火系统</w:t>
      </w:r>
    </w:p>
    <w:p w14:paraId="6D95129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5.1模拟自动喷气试验</w:t>
      </w:r>
    </w:p>
    <w:p w14:paraId="60E22A9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a.灭火系统接到灭火指令后能正常启动，喷射正常。</w:t>
      </w:r>
    </w:p>
    <w:p w14:paraId="012084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b.在报警、喷射各阶段，防护区有声光报警信号。</w:t>
      </w:r>
    </w:p>
    <w:p w14:paraId="7DDE8D1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c.联动设备接到控制指令应可靠动作，能可靠切断火场电源。</w:t>
      </w:r>
    </w:p>
    <w:p w14:paraId="53715FE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d.被测钢瓶上压力表指针归零。</w:t>
      </w:r>
    </w:p>
    <w:p w14:paraId="1DB7286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5.2模拟手动喷气试验</w:t>
      </w:r>
    </w:p>
    <w:p w14:paraId="52CCCBD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a.启动手动灭火按钮后，灭火系统应能可靠、正常的启动、喷射。</w:t>
      </w:r>
    </w:p>
    <w:p w14:paraId="1342EFE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b.c、d同模拟自动喷气试验。</w:t>
      </w:r>
    </w:p>
    <w:p w14:paraId="6CE2250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6.紧急切断装置功能试验</w:t>
      </w:r>
    </w:p>
    <w:p w14:paraId="0FB0AC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将自动控制系统切换到手动控制功能时，应能在规定的延时时间内可靠地切断自动控制系统。</w:t>
      </w:r>
    </w:p>
    <w:p w14:paraId="03FEA64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（五）排烟系统、通风及空气调节的防火</w:t>
      </w:r>
    </w:p>
    <w:p w14:paraId="17EC79D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1.机械加压送风防烟系统</w:t>
      </w:r>
    </w:p>
    <w:p w14:paraId="445A7F8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1.1加压送风口风速不宜大于7m/s，风量符合要求。</w:t>
      </w:r>
    </w:p>
    <w:p w14:paraId="2D0955C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1.2手动及控制室开启送风口正常，手动复位正常。</w:t>
      </w:r>
    </w:p>
    <w:p w14:paraId="5109053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1.3风压：防烟楼梯间为50Pa，前室、合用前室、消防电梯前</w:t>
      </w:r>
    </w:p>
    <w:p w14:paraId="1FC56F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室、封闭避难层为25Pa。</w:t>
      </w:r>
    </w:p>
    <w:p w14:paraId="38711C0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1.4风机应用消防电源，并能在末端自动切换。</w:t>
      </w:r>
    </w:p>
    <w:p w14:paraId="7F32CD2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2.机械排烟系统</w:t>
      </w:r>
    </w:p>
    <w:p w14:paraId="29F0B6B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2.1一个排烟系统最大排烟量为60000m3/h，最小排烟量为</w:t>
      </w:r>
    </w:p>
    <w:p w14:paraId="6E498DE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7200m3/h。排烟口的风速不宜大于10m/s。</w:t>
      </w:r>
    </w:p>
    <w:p w14:paraId="54AE5E7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2.2排烟口平时关闭，手动及控制开启正常，手动复位正常。</w:t>
      </w:r>
    </w:p>
    <w:p w14:paraId="23A5EAB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2.3排烟防火阀平时处于开启状态，手动、电动关闭时动作正常，并应向消防控制中心发出阀门关闭信号，手动能复位。</w:t>
      </w:r>
    </w:p>
    <w:p w14:paraId="5114476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2.4利用通风空调系统的管道兼作排烟系统在排烟口应设排烟防火阀（当烟温＞280°时，应能自动关闭）。</w:t>
      </w:r>
    </w:p>
    <w:p w14:paraId="0DF1C38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2.5风机应使用消防电源，末端应能自动切换。</w:t>
      </w:r>
    </w:p>
    <w:p w14:paraId="501B74F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3.通风、空调系统</w:t>
      </w:r>
    </w:p>
    <w:p w14:paraId="42280B6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3.1按规范设置防火阀，防火阀平时处于开启状态，手动、电动关闭时动作正常，手动能复位。</w:t>
      </w:r>
    </w:p>
    <w:p w14:paraId="336C2DD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3.2系统手动、自动、联动功能正常。</w:t>
      </w:r>
    </w:p>
    <w:p w14:paraId="39AC327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（六）防火卷帘门、防火门</w:t>
      </w:r>
    </w:p>
    <w:p w14:paraId="1F0ABA4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1.卷帘门</w:t>
      </w:r>
    </w:p>
    <w:p w14:paraId="5ACCE19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1.1卷帘平均升降速度</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160"/>
        <w:gridCol w:w="2160"/>
        <w:gridCol w:w="2088"/>
      </w:tblGrid>
      <w:tr w14:paraId="2643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326D8E6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卷帘内幅高H（m）</w:t>
            </w:r>
          </w:p>
        </w:tc>
        <w:tc>
          <w:tcPr>
            <w:tcW w:w="2160" w:type="dxa"/>
            <w:noWrap w:val="0"/>
            <w:vAlign w:val="center"/>
          </w:tcPr>
          <w:p w14:paraId="4D99760D">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w:t>
            </w:r>
          </w:p>
        </w:tc>
        <w:tc>
          <w:tcPr>
            <w:tcW w:w="2160" w:type="dxa"/>
            <w:noWrap w:val="0"/>
            <w:vAlign w:val="center"/>
          </w:tcPr>
          <w:p w14:paraId="2BE2001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2—5</w:t>
            </w:r>
          </w:p>
        </w:tc>
        <w:tc>
          <w:tcPr>
            <w:tcW w:w="2088" w:type="dxa"/>
            <w:noWrap w:val="0"/>
            <w:vAlign w:val="center"/>
          </w:tcPr>
          <w:p w14:paraId="13D3E199">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＞5</w:t>
            </w:r>
          </w:p>
        </w:tc>
      </w:tr>
      <w:tr w14:paraId="3E50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46FD3E6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电动启闭（m/min）</w:t>
            </w:r>
          </w:p>
        </w:tc>
        <w:tc>
          <w:tcPr>
            <w:tcW w:w="2160" w:type="dxa"/>
            <w:noWrap w:val="0"/>
            <w:vAlign w:val="center"/>
          </w:tcPr>
          <w:p w14:paraId="16448AF1">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6</w:t>
            </w:r>
          </w:p>
        </w:tc>
        <w:tc>
          <w:tcPr>
            <w:tcW w:w="2160" w:type="dxa"/>
            <w:noWrap w:val="0"/>
            <w:vAlign w:val="center"/>
          </w:tcPr>
          <w:p w14:paraId="45C7A75D">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5</w:t>
            </w:r>
            <w:r>
              <w:rPr>
                <w:rFonts w:hint="eastAsia" w:ascii="微软雅黑" w:hAnsi="微软雅黑" w:eastAsia="微软雅黑"/>
                <w:szCs w:val="21"/>
                <w:lang w:val="en-US" w:eastAsia="zh-CN"/>
              </w:rPr>
              <w:t>-</w:t>
            </w:r>
            <w:r>
              <w:rPr>
                <w:rFonts w:hint="eastAsia" w:ascii="微软雅黑" w:hAnsi="微软雅黑" w:eastAsia="微软雅黑"/>
                <w:szCs w:val="21"/>
              </w:rPr>
              <w:t>6</w:t>
            </w:r>
            <w:r>
              <w:rPr>
                <w:rFonts w:hint="eastAsia" w:ascii="微软雅黑" w:hAnsi="微软雅黑" w:eastAsia="微软雅黑"/>
                <w:szCs w:val="21"/>
                <w:lang w:val="en-US" w:eastAsia="zh-CN"/>
              </w:rPr>
              <w:t>.</w:t>
            </w:r>
            <w:r>
              <w:rPr>
                <w:rFonts w:hint="eastAsia" w:ascii="微软雅黑" w:hAnsi="微软雅黑" w:eastAsia="微软雅黑"/>
                <w:szCs w:val="21"/>
              </w:rPr>
              <w:t>5</w:t>
            </w:r>
          </w:p>
        </w:tc>
        <w:tc>
          <w:tcPr>
            <w:tcW w:w="2088" w:type="dxa"/>
            <w:noWrap w:val="0"/>
            <w:vAlign w:val="center"/>
          </w:tcPr>
          <w:p w14:paraId="31F71386">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9</w:t>
            </w:r>
          </w:p>
        </w:tc>
      </w:tr>
      <w:tr w14:paraId="0341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638D8A3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手动启闭（m/min）</w:t>
            </w:r>
          </w:p>
        </w:tc>
        <w:tc>
          <w:tcPr>
            <w:tcW w:w="2160" w:type="dxa"/>
            <w:noWrap w:val="0"/>
            <w:vAlign w:val="center"/>
          </w:tcPr>
          <w:p w14:paraId="05A55714">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≤50</w:t>
            </w:r>
          </w:p>
        </w:tc>
        <w:tc>
          <w:tcPr>
            <w:tcW w:w="2160" w:type="dxa"/>
            <w:noWrap w:val="0"/>
            <w:vAlign w:val="center"/>
          </w:tcPr>
          <w:p w14:paraId="59C5660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7</w:t>
            </w:r>
          </w:p>
        </w:tc>
        <w:tc>
          <w:tcPr>
            <w:tcW w:w="2088" w:type="dxa"/>
            <w:noWrap w:val="0"/>
            <w:vAlign w:val="center"/>
          </w:tcPr>
          <w:p w14:paraId="2A41DE68">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9</w:t>
            </w:r>
          </w:p>
        </w:tc>
      </w:tr>
    </w:tbl>
    <w:p w14:paraId="3310A09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1.2卷帘启闭运行的平均噪音</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160"/>
        <w:gridCol w:w="2160"/>
        <w:gridCol w:w="2088"/>
      </w:tblGrid>
      <w:tr w14:paraId="2037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491A683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卷帘机功率W（kw）</w:t>
            </w:r>
          </w:p>
        </w:tc>
        <w:tc>
          <w:tcPr>
            <w:tcW w:w="2160" w:type="dxa"/>
            <w:noWrap w:val="0"/>
            <w:vAlign w:val="top"/>
          </w:tcPr>
          <w:p w14:paraId="181243CC">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W≤0.4</w:t>
            </w:r>
          </w:p>
        </w:tc>
        <w:tc>
          <w:tcPr>
            <w:tcW w:w="2160" w:type="dxa"/>
            <w:noWrap w:val="0"/>
            <w:vAlign w:val="top"/>
          </w:tcPr>
          <w:p w14:paraId="328973F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0.4＜W≤1.5</w:t>
            </w:r>
          </w:p>
        </w:tc>
        <w:tc>
          <w:tcPr>
            <w:tcW w:w="2088" w:type="dxa"/>
            <w:noWrap w:val="0"/>
            <w:vAlign w:val="top"/>
          </w:tcPr>
          <w:p w14:paraId="0E4573FA">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W＞1.5</w:t>
            </w:r>
          </w:p>
        </w:tc>
      </w:tr>
      <w:tr w14:paraId="2454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78B38A85">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dB</w:t>
            </w:r>
          </w:p>
        </w:tc>
        <w:tc>
          <w:tcPr>
            <w:tcW w:w="2160" w:type="dxa"/>
            <w:noWrap w:val="0"/>
            <w:vAlign w:val="top"/>
          </w:tcPr>
          <w:p w14:paraId="0D06582B">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≤50</w:t>
            </w:r>
          </w:p>
        </w:tc>
        <w:tc>
          <w:tcPr>
            <w:tcW w:w="2160" w:type="dxa"/>
            <w:noWrap w:val="0"/>
            <w:vAlign w:val="top"/>
          </w:tcPr>
          <w:p w14:paraId="2E5F922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≤60</w:t>
            </w:r>
          </w:p>
        </w:tc>
        <w:tc>
          <w:tcPr>
            <w:tcW w:w="2088" w:type="dxa"/>
            <w:noWrap w:val="0"/>
            <w:vAlign w:val="top"/>
          </w:tcPr>
          <w:p w14:paraId="5DDD4CB9">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≤70</w:t>
            </w:r>
          </w:p>
        </w:tc>
      </w:tr>
    </w:tbl>
    <w:p w14:paraId="42E190F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1.3卷帘在火警状态下，自动（烟感、温感），手动均应正常运行，报警、信号、显示等准确无误。防护水幕功能正常，喷水强度以不小于0.5L/m·S，帘板着水面积100%，末端喷水压力不小于0.049Mpa。</w:t>
      </w:r>
    </w:p>
    <w:p w14:paraId="23D3C42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2.钢质防火门</w:t>
      </w:r>
    </w:p>
    <w:p w14:paraId="7B0C54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启、闭性能良好，关闭严密，任何一侧均可手动开启。</w:t>
      </w:r>
    </w:p>
    <w:p w14:paraId="5C4B5D6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3.木质防火门</w:t>
      </w:r>
    </w:p>
    <w:p w14:paraId="72F8E34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启闭性能良好，关闭严密，两扇或多扇门应能顺序关闭。推开力不大于80N。</w:t>
      </w:r>
    </w:p>
    <w:p w14:paraId="50472D1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电动防火门应能接收信号并实现其动作功能并反馈动作信号。</w:t>
      </w:r>
    </w:p>
    <w:p w14:paraId="772366B8">
      <w:pPr>
        <w:adjustRightInd w:val="0"/>
        <w:snapToGrid w:val="0"/>
        <w:spacing w:line="480" w:lineRule="exact"/>
        <w:rPr>
          <w:rFonts w:hint="eastAsia" w:ascii="微软雅黑" w:hAnsi="微软雅黑" w:eastAsia="微软雅黑"/>
          <w:szCs w:val="21"/>
        </w:rPr>
      </w:pPr>
    </w:p>
    <w:p w14:paraId="73CD0880">
      <w:pPr>
        <w:spacing w:line="560" w:lineRule="exact"/>
        <w:jc w:val="both"/>
        <w:rPr>
          <w:rFonts w:ascii="宋体" w:hAnsi="Times New Roman" w:eastAsia="宋体" w:cs="Times New Roman"/>
          <w:b/>
          <w:bCs/>
          <w:color w:val="000000"/>
          <w:sz w:val="32"/>
          <w:szCs w:val="32"/>
        </w:rPr>
      </w:pPr>
      <w:r>
        <w:rPr>
          <w:rFonts w:hint="eastAsia" w:ascii="微软雅黑" w:hAnsi="微软雅黑" w:eastAsia="微软雅黑"/>
          <w:szCs w:val="21"/>
        </w:rPr>
        <w:br w:type="page"/>
      </w:r>
      <w:r>
        <w:rPr>
          <w:rFonts w:hint="eastAsia" w:ascii="宋体" w:hAnsi="宋体"/>
          <w:b/>
          <w:bCs/>
          <w:snapToGrid w:val="0"/>
          <w:kern w:val="0"/>
          <w:sz w:val="28"/>
          <w:szCs w:val="28"/>
        </w:rPr>
        <w:t>附件</w:t>
      </w:r>
      <w:r>
        <w:rPr>
          <w:rFonts w:hint="eastAsia" w:ascii="宋体" w:hAnsi="宋体"/>
          <w:b/>
          <w:bCs/>
          <w:snapToGrid w:val="0"/>
          <w:kern w:val="0"/>
          <w:sz w:val="28"/>
          <w:szCs w:val="28"/>
          <w:lang w:val="en-US" w:eastAsia="zh-CN"/>
        </w:rPr>
        <w:t>4</w:t>
      </w:r>
      <w:r>
        <w:rPr>
          <w:rFonts w:hint="eastAsia" w:ascii="宋体" w:hAnsi="宋体"/>
          <w:b/>
          <w:bCs/>
          <w:snapToGrid w:val="0"/>
          <w:kern w:val="0"/>
          <w:sz w:val="28"/>
          <w:szCs w:val="28"/>
        </w:rPr>
        <w:t>：</w:t>
      </w:r>
    </w:p>
    <w:p w14:paraId="4FE431D4">
      <w:pPr>
        <w:snapToGrid w:val="0"/>
        <w:spacing w:line="440" w:lineRule="exact"/>
        <w:jc w:val="center"/>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重庆市计量质量检测研究院服务项目廉政合同</w:t>
      </w:r>
    </w:p>
    <w:p w14:paraId="21FDE3D2">
      <w:pPr>
        <w:adjustRightInd w:val="0"/>
        <w:snapToGrid w:val="0"/>
        <w:spacing w:line="480" w:lineRule="exact"/>
        <w:ind w:firstLine="420" w:firstLineChars="200"/>
        <w:rPr>
          <w:rFonts w:hint="eastAsia" w:ascii="微软雅黑" w:hAnsi="微软雅黑" w:eastAsia="微软雅黑"/>
          <w:szCs w:val="21"/>
          <w:lang w:eastAsia="zh-CN"/>
        </w:rPr>
      </w:pPr>
    </w:p>
    <w:p w14:paraId="19014F4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服务</w:t>
      </w:r>
      <w:r>
        <w:rPr>
          <w:rFonts w:hint="eastAsia" w:ascii="微软雅黑" w:hAnsi="微软雅黑" w:eastAsia="微软雅黑"/>
          <w:szCs w:val="21"/>
        </w:rPr>
        <w:t>项目名称：院本部和国家质检基地消防设施维保项目</w:t>
      </w:r>
    </w:p>
    <w:p w14:paraId="7D050A0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甲方：</w:t>
      </w:r>
      <w:r>
        <w:rPr>
          <w:rFonts w:hint="eastAsia" w:ascii="微软雅黑" w:hAnsi="微软雅黑" w:eastAsia="微软雅黑"/>
          <w:szCs w:val="21"/>
          <w:lang w:val="en-US" w:eastAsia="zh-CN"/>
        </w:rPr>
        <w:t>重庆市计量质量检测研究院</w:t>
      </w:r>
    </w:p>
    <w:p w14:paraId="0381D96B">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rPr>
        <w:t>乙方：</w:t>
      </w:r>
    </w:p>
    <w:p w14:paraId="1CB9F39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为提高服务</w:t>
      </w:r>
      <w:r>
        <w:rPr>
          <w:rFonts w:hint="eastAsia" w:ascii="微软雅黑" w:hAnsi="微软雅黑" w:eastAsia="微软雅黑"/>
          <w:szCs w:val="21"/>
        </w:rPr>
        <w:t>项目</w:t>
      </w:r>
      <w:r>
        <w:rPr>
          <w:rFonts w:hint="eastAsia" w:ascii="微软雅黑" w:hAnsi="微软雅黑" w:eastAsia="微软雅黑"/>
          <w:szCs w:val="21"/>
          <w:lang w:eastAsia="zh-CN"/>
        </w:rPr>
        <w:t>采购质量</w:t>
      </w:r>
      <w:r>
        <w:rPr>
          <w:rFonts w:hint="eastAsia" w:ascii="微软雅黑" w:hAnsi="微软雅黑" w:eastAsia="微软雅黑"/>
          <w:szCs w:val="21"/>
        </w:rPr>
        <w:t>，规范</w:t>
      </w:r>
      <w:r>
        <w:rPr>
          <w:rFonts w:hint="eastAsia" w:ascii="微软雅黑" w:hAnsi="微软雅黑" w:eastAsia="微软雅黑"/>
          <w:szCs w:val="21"/>
          <w:lang w:eastAsia="zh-CN"/>
        </w:rPr>
        <w:t>甲、乙</w:t>
      </w:r>
      <w:r>
        <w:rPr>
          <w:rFonts w:hint="eastAsia" w:ascii="微软雅黑" w:hAnsi="微软雅黑" w:eastAsia="微软雅黑"/>
          <w:szCs w:val="21"/>
        </w:rPr>
        <w:t>双方</w:t>
      </w:r>
      <w:r>
        <w:rPr>
          <w:rFonts w:hint="eastAsia" w:ascii="微软雅黑" w:hAnsi="微软雅黑" w:eastAsia="微软雅黑"/>
          <w:szCs w:val="21"/>
          <w:lang w:eastAsia="zh-CN"/>
        </w:rPr>
        <w:t>在合同履行中的廉洁行为</w:t>
      </w:r>
      <w:r>
        <w:rPr>
          <w:rFonts w:hint="eastAsia" w:ascii="微软雅黑" w:hAnsi="微软雅黑" w:eastAsia="微软雅黑"/>
          <w:szCs w:val="21"/>
        </w:rPr>
        <w:t>，防止发生各种谋取不正当利益的违法违纪行为。明确甲方双方的权利和义务，保护甲乙双方的合法权益，根据国家</w:t>
      </w:r>
      <w:r>
        <w:rPr>
          <w:rFonts w:hint="eastAsia" w:ascii="微软雅黑" w:hAnsi="微软雅黑" w:eastAsia="微软雅黑"/>
          <w:szCs w:val="21"/>
          <w:lang w:eastAsia="zh-CN"/>
        </w:rPr>
        <w:t>法律法规</w:t>
      </w:r>
      <w:r>
        <w:rPr>
          <w:rFonts w:hint="eastAsia" w:ascii="微软雅黑" w:hAnsi="微软雅黑" w:eastAsia="微软雅黑"/>
          <w:szCs w:val="21"/>
        </w:rPr>
        <w:t>和廉洁从业的有关规定，经甲乙双方协商，特订立本</w:t>
      </w:r>
      <w:r>
        <w:rPr>
          <w:rFonts w:hint="eastAsia" w:ascii="微软雅黑" w:hAnsi="微软雅黑" w:eastAsia="微软雅黑"/>
          <w:szCs w:val="21"/>
          <w:lang w:eastAsia="zh-CN"/>
        </w:rPr>
        <w:t>合同</w:t>
      </w:r>
      <w:r>
        <w:rPr>
          <w:rFonts w:hint="eastAsia" w:ascii="微软雅黑" w:hAnsi="微软雅黑" w:eastAsia="微软雅黑"/>
          <w:szCs w:val="21"/>
        </w:rPr>
        <w:t>。</w:t>
      </w:r>
    </w:p>
    <w:p w14:paraId="1790F9C4">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第一条  甲乙双方的共同责任</w:t>
      </w:r>
    </w:p>
    <w:p w14:paraId="6EF34E9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（一）严格遵守国家的有关</w:t>
      </w:r>
      <w:r>
        <w:rPr>
          <w:rFonts w:hint="eastAsia" w:ascii="微软雅黑" w:hAnsi="微软雅黑" w:eastAsia="微软雅黑"/>
          <w:szCs w:val="21"/>
          <w:lang w:eastAsia="zh-CN"/>
        </w:rPr>
        <w:t>法律法规</w:t>
      </w:r>
      <w:r>
        <w:rPr>
          <w:rFonts w:hint="eastAsia" w:ascii="微软雅黑" w:hAnsi="微软雅黑" w:eastAsia="微软雅黑"/>
          <w:szCs w:val="21"/>
        </w:rPr>
        <w:t>和</w:t>
      </w:r>
      <w:r>
        <w:rPr>
          <w:rFonts w:hint="eastAsia" w:ascii="微软雅黑" w:hAnsi="微软雅黑" w:eastAsia="微软雅黑"/>
          <w:szCs w:val="21"/>
          <w:lang w:eastAsia="zh-CN"/>
        </w:rPr>
        <w:t>重庆市计量质量检测研究院</w:t>
      </w:r>
      <w:r>
        <w:rPr>
          <w:rFonts w:hint="eastAsia" w:ascii="微软雅黑" w:hAnsi="微软雅黑" w:eastAsia="微软雅黑"/>
          <w:szCs w:val="21"/>
        </w:rPr>
        <w:t>关于项目招投标</w:t>
      </w:r>
      <w:r>
        <w:rPr>
          <w:rFonts w:hint="eastAsia" w:ascii="微软雅黑" w:hAnsi="微软雅黑" w:eastAsia="微软雅黑"/>
          <w:szCs w:val="21"/>
          <w:lang w:eastAsia="zh-CN"/>
        </w:rPr>
        <w:t>以及</w:t>
      </w:r>
      <w:r>
        <w:rPr>
          <w:rFonts w:hint="eastAsia" w:ascii="微软雅黑" w:hAnsi="微软雅黑" w:eastAsia="微软雅黑"/>
          <w:szCs w:val="21"/>
        </w:rPr>
        <w:t>市场活动的相关制度，严格遵守廉洁从业的各项规定。</w:t>
      </w:r>
    </w:p>
    <w:p w14:paraId="6D0969C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（二）严格执行一切合同文件，自觉按合同办事。</w:t>
      </w:r>
    </w:p>
    <w:p w14:paraId="1FE911F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（三）双方的业务活动必须坚持公开、公平、公正、诚信、透明的原则（除法律法规另有规定者外），不得损害国家、集体和对方的利益，不得违反</w:t>
      </w:r>
      <w:r>
        <w:rPr>
          <w:rFonts w:hint="eastAsia" w:ascii="微软雅黑" w:hAnsi="微软雅黑" w:eastAsia="微软雅黑"/>
          <w:szCs w:val="21"/>
          <w:lang w:eastAsia="zh-CN"/>
        </w:rPr>
        <w:t>服务采购</w:t>
      </w:r>
      <w:r>
        <w:rPr>
          <w:rFonts w:hint="eastAsia" w:ascii="微软雅黑" w:hAnsi="微软雅黑" w:eastAsia="微软雅黑"/>
          <w:szCs w:val="21"/>
        </w:rPr>
        <w:t>管理规章和制度。</w:t>
      </w:r>
    </w:p>
    <w:p w14:paraId="1F2B902C">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第二条  甲方的责任</w:t>
      </w:r>
    </w:p>
    <w:p w14:paraId="50D6BD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（一）甲方作为</w:t>
      </w:r>
      <w:r>
        <w:rPr>
          <w:rFonts w:hint="eastAsia" w:ascii="微软雅黑" w:hAnsi="微软雅黑" w:eastAsia="微软雅黑"/>
          <w:szCs w:val="21"/>
          <w:lang w:eastAsia="zh-CN"/>
        </w:rPr>
        <w:t>服务</w:t>
      </w:r>
      <w:r>
        <w:rPr>
          <w:rFonts w:hint="eastAsia" w:ascii="微软雅黑" w:hAnsi="微软雅黑" w:eastAsia="微软雅黑"/>
          <w:szCs w:val="21"/>
        </w:rPr>
        <w:t>采购项目的</w:t>
      </w:r>
      <w:r>
        <w:rPr>
          <w:rFonts w:hint="eastAsia" w:ascii="微软雅黑" w:hAnsi="微软雅黑" w:eastAsia="微软雅黑"/>
          <w:szCs w:val="21"/>
          <w:lang w:eastAsia="zh-CN"/>
        </w:rPr>
        <w:t>委托人</w:t>
      </w:r>
      <w:r>
        <w:rPr>
          <w:rFonts w:hint="eastAsia" w:ascii="微软雅黑" w:hAnsi="微软雅黑" w:eastAsia="微软雅黑"/>
          <w:szCs w:val="21"/>
        </w:rPr>
        <w:t>，全面负责</w:t>
      </w:r>
      <w:r>
        <w:rPr>
          <w:rFonts w:hint="eastAsia" w:ascii="微软雅黑" w:hAnsi="微软雅黑" w:eastAsia="微软雅黑"/>
          <w:szCs w:val="21"/>
          <w:lang w:eastAsia="zh-CN"/>
        </w:rPr>
        <w:t>服务采购</w:t>
      </w:r>
      <w:r>
        <w:rPr>
          <w:rFonts w:hint="eastAsia" w:ascii="微软雅黑" w:hAnsi="微软雅黑" w:eastAsia="微软雅黑"/>
          <w:szCs w:val="21"/>
        </w:rPr>
        <w:t>项目的质量和资金管理，认真履行合同规定的甲方责任。</w:t>
      </w:r>
    </w:p>
    <w:p w14:paraId="27C52EB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（二）甲方人员不得索要或接受乙方赠送的礼品、礼金和各种有价证券及其他支付凭证；不得索要或接受乙方任何好处费及回扣；不得在乙方报销任何应由甲方或个人支付的费用。</w:t>
      </w:r>
    </w:p>
    <w:p w14:paraId="4C95701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甲方人员不得参加乙方提供的有可能影响公正执行业务的宴请、健身、娱乐等高消费活动；不得接受乙方提供的通讯工具、交通工具和高档办公用品等；不得要求、暗示或者接受乙方和相关单位为其个人住房装修、婚丧嫁娶活动、配偶子女的工作安排以及出国（境）、旅游等提供方便。</w:t>
      </w:r>
    </w:p>
    <w:p w14:paraId="1B79F4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（四）甲方人员不得向乙方介绍配偶子女、亲属参与同乙方合同有关的业务等活动，不得以任何理由向乙方推荐分包单位或要求乙方购买合同约定以外的材料和设备。</w:t>
      </w:r>
    </w:p>
    <w:p w14:paraId="0340164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（五）不准组织或参与赌博活动，不得借赌博活动变相收受乙方人员钱物。</w:t>
      </w:r>
    </w:p>
    <w:p w14:paraId="410548F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szCs w:val="21"/>
          <w:lang w:eastAsia="zh-CN"/>
        </w:rPr>
        <w:t>六</w:t>
      </w:r>
      <w:r>
        <w:rPr>
          <w:rFonts w:hint="eastAsia" w:ascii="微软雅黑" w:hAnsi="微软雅黑" w:eastAsia="微软雅黑"/>
          <w:szCs w:val="21"/>
        </w:rPr>
        <w:t>）不得以任何理由向乙方推荐分包单位或要求乙方购买项目合同规定以外的材料、设备和服务等。</w:t>
      </w:r>
    </w:p>
    <w:p w14:paraId="24257B02">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第三条  乙方的责任</w:t>
      </w:r>
    </w:p>
    <w:p w14:paraId="7A442F7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（一）乙方作为</w:t>
      </w:r>
      <w:r>
        <w:rPr>
          <w:rFonts w:hint="eastAsia" w:ascii="微软雅黑" w:hAnsi="微软雅黑" w:eastAsia="微软雅黑"/>
          <w:szCs w:val="21"/>
          <w:lang w:eastAsia="zh-CN"/>
        </w:rPr>
        <w:t>服务采购</w:t>
      </w:r>
      <w:r>
        <w:rPr>
          <w:rFonts w:hint="eastAsia" w:ascii="微软雅黑" w:hAnsi="微软雅黑" w:eastAsia="微软雅黑"/>
          <w:szCs w:val="21"/>
        </w:rPr>
        <w:t>项目的</w:t>
      </w:r>
      <w:r>
        <w:rPr>
          <w:rFonts w:hint="eastAsia" w:ascii="微软雅黑" w:hAnsi="微软雅黑" w:eastAsia="微软雅黑"/>
          <w:szCs w:val="21"/>
          <w:lang w:eastAsia="zh-CN"/>
        </w:rPr>
        <w:t>受托</w:t>
      </w:r>
      <w:r>
        <w:rPr>
          <w:rFonts w:hint="eastAsia" w:ascii="微软雅黑" w:hAnsi="微软雅黑" w:eastAsia="微软雅黑"/>
          <w:szCs w:val="21"/>
        </w:rPr>
        <w:t>人，应与甲方保持正常业务往来，严格</w:t>
      </w:r>
      <w:r>
        <w:rPr>
          <w:rFonts w:hint="eastAsia" w:ascii="微软雅黑" w:hAnsi="微软雅黑" w:eastAsia="微软雅黑"/>
          <w:szCs w:val="21"/>
          <w:lang w:eastAsia="zh-CN"/>
        </w:rPr>
        <w:t>履行合同约定</w:t>
      </w:r>
      <w:r>
        <w:rPr>
          <w:rFonts w:hint="eastAsia" w:ascii="微软雅黑" w:hAnsi="微软雅黑" w:eastAsia="微软雅黑"/>
          <w:szCs w:val="21"/>
        </w:rPr>
        <w:t>有关质量标准与规范，认真履行合同规定的乙方责任。</w:t>
      </w:r>
    </w:p>
    <w:p w14:paraId="3502F30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（二）乙方不以任何理由向甲方工作人员及第三方赠送、索要礼品、礼金、各种有价证券及其他支付凭证；不以任何理由为甲方和工作人员报销应由对方或个人支付的费用。</w:t>
      </w:r>
    </w:p>
    <w:p w14:paraId="58F7593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乙方不以任何理由为甲方人员组织有可能影响公正执行业务的宴请、健身、娱乐等高消费活动；不以任何理由为甲方人员提供通讯工具、交通工具和高档办公用品等；不接受或暗示为甲方人员装修住房、婚丧嫁娶、配偶子女的</w:t>
      </w:r>
      <w:r>
        <w:rPr>
          <w:rFonts w:hint="eastAsia" w:ascii="微软雅黑" w:hAnsi="微软雅黑" w:eastAsia="微软雅黑"/>
          <w:szCs w:val="21"/>
          <w:lang w:eastAsia="zh-CN"/>
        </w:rPr>
        <w:t>工作安排</w:t>
      </w:r>
      <w:r>
        <w:rPr>
          <w:rFonts w:hint="eastAsia" w:ascii="微软雅黑" w:hAnsi="微软雅黑" w:eastAsia="微软雅黑"/>
          <w:szCs w:val="21"/>
        </w:rPr>
        <w:t>以及出国（境）、旅游等提供方便。</w:t>
      </w:r>
    </w:p>
    <w:p w14:paraId="36C947F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（四）乙方不得将</w:t>
      </w:r>
      <w:r>
        <w:rPr>
          <w:rFonts w:hint="eastAsia" w:ascii="微软雅黑" w:hAnsi="微软雅黑" w:eastAsia="微软雅黑"/>
          <w:szCs w:val="21"/>
          <w:lang w:eastAsia="zh-CN"/>
        </w:rPr>
        <w:t>受托</w:t>
      </w:r>
      <w:r>
        <w:rPr>
          <w:rFonts w:hint="eastAsia" w:ascii="微软雅黑" w:hAnsi="微软雅黑" w:eastAsia="微软雅黑"/>
          <w:szCs w:val="21"/>
        </w:rPr>
        <w:t>项目转包或违法分包给其它单位。</w:t>
      </w:r>
    </w:p>
    <w:p w14:paraId="1E8E843B">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第四条  违约责任</w:t>
      </w:r>
    </w:p>
    <w:p w14:paraId="5645C58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（一）甲方工作人员有违反本合同责任行为的，依据有关法律法规和规定进行处理；涉嫌犯罪的，移交司法机关追究刑事责任；给乙方单位造成经济损失的，应予以赔偿。</w:t>
      </w:r>
    </w:p>
    <w:p w14:paraId="52E5ECF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（二）乙方工作人员有违反本合同责任行为的，按照管理权限，依据有关法律法规和规定给予党纪</w:t>
      </w:r>
      <w:r>
        <w:rPr>
          <w:rFonts w:hint="eastAsia" w:ascii="微软雅黑" w:hAnsi="微软雅黑" w:eastAsia="微软雅黑"/>
          <w:szCs w:val="21"/>
          <w:lang w:eastAsia="zh-CN"/>
        </w:rPr>
        <w:t>处分</w:t>
      </w:r>
      <w:r>
        <w:rPr>
          <w:rFonts w:hint="eastAsia" w:ascii="微软雅黑" w:hAnsi="微软雅黑" w:eastAsia="微软雅黑"/>
          <w:szCs w:val="21"/>
        </w:rPr>
        <w:t>、</w:t>
      </w:r>
      <w:r>
        <w:rPr>
          <w:rFonts w:hint="eastAsia" w:ascii="微软雅黑" w:hAnsi="微软雅黑" w:eastAsia="微软雅黑"/>
          <w:szCs w:val="21"/>
          <w:lang w:eastAsia="zh-CN"/>
        </w:rPr>
        <w:t>政务</w:t>
      </w:r>
      <w:r>
        <w:rPr>
          <w:rFonts w:hint="eastAsia" w:ascii="微软雅黑" w:hAnsi="微软雅黑" w:eastAsia="微软雅黑"/>
          <w:szCs w:val="21"/>
        </w:rPr>
        <w:t>处分或组织处理；涉嫌犯罪的，移交司法机关追究刑事责任；给甲方单位造成经济损失的，应予以赔偿。</w:t>
      </w:r>
    </w:p>
    <w:p w14:paraId="15668D5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（三）乙方如将部分辅助项目分包的，乙方有责任向分包单位</w:t>
      </w:r>
      <w:r>
        <w:rPr>
          <w:rFonts w:hint="eastAsia" w:ascii="微软雅黑" w:hAnsi="微软雅黑" w:eastAsia="微软雅黑"/>
          <w:szCs w:val="21"/>
          <w:lang w:eastAsia="zh-CN"/>
        </w:rPr>
        <w:t>交代</w:t>
      </w:r>
      <w:r>
        <w:rPr>
          <w:rFonts w:hint="eastAsia" w:ascii="微软雅黑" w:hAnsi="微软雅黑" w:eastAsia="微软雅黑"/>
          <w:szCs w:val="21"/>
        </w:rPr>
        <w:t>本合同的具体内容，并严格执行本合同之规定，分包单位如有违反上述责任行为的，乙方将承担连带责任。</w:t>
      </w:r>
    </w:p>
    <w:p w14:paraId="324B246E">
      <w:pPr>
        <w:adjustRightInd w:val="0"/>
        <w:snapToGrid w:val="0"/>
        <w:spacing w:line="480" w:lineRule="exact"/>
        <w:ind w:firstLine="480" w:firstLineChars="200"/>
        <w:rPr>
          <w:rFonts w:hint="eastAsia" w:ascii="微软雅黑" w:hAnsi="微软雅黑" w:eastAsia="微软雅黑"/>
          <w:szCs w:val="21"/>
        </w:rPr>
      </w:pPr>
      <w:r>
        <w:rPr>
          <w:rFonts w:hint="eastAsia" w:ascii="微软雅黑" w:hAnsi="微软雅黑" w:eastAsia="微软雅黑"/>
          <w:b/>
          <w:sz w:val="24"/>
          <w:lang w:val="en-US" w:eastAsia="zh-CN"/>
        </w:rPr>
        <w:t>第五条</w:t>
      </w:r>
      <w:r>
        <w:rPr>
          <w:rFonts w:hint="eastAsia" w:ascii="微软雅黑" w:hAnsi="微软雅黑" w:eastAsia="微软雅黑"/>
          <w:b/>
          <w:bCs/>
          <w:szCs w:val="21"/>
        </w:rPr>
        <w:t xml:space="preserve">  双方约定</w:t>
      </w:r>
    </w:p>
    <w:p w14:paraId="437001C0">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szCs w:val="21"/>
        </w:rPr>
        <w:t>本合同由（甲乙双方经办部门主要负责人）负责监督。日常工作由 （ 具体经办人员 ） 负责实施，并对本合同履行情况进行检查。</w:t>
      </w:r>
    </w:p>
    <w:p w14:paraId="52377482">
      <w:pPr>
        <w:adjustRightInd w:val="0"/>
        <w:snapToGrid w:val="0"/>
        <w:spacing w:line="480" w:lineRule="exact"/>
        <w:ind w:firstLine="480" w:firstLineChars="200"/>
        <w:rPr>
          <w:rFonts w:hint="eastAsia" w:ascii="微软雅黑" w:hAnsi="微软雅黑" w:eastAsia="微软雅黑"/>
          <w:b/>
          <w:bCs/>
          <w:szCs w:val="21"/>
        </w:rPr>
      </w:pPr>
      <w:r>
        <w:rPr>
          <w:rFonts w:hint="eastAsia" w:ascii="微软雅黑" w:hAnsi="微软雅黑" w:eastAsia="微软雅黑"/>
          <w:b/>
          <w:sz w:val="24"/>
          <w:lang w:val="en-US" w:eastAsia="zh-CN"/>
        </w:rPr>
        <w:t>第六条</w:t>
      </w:r>
      <w:r>
        <w:rPr>
          <w:rFonts w:hint="eastAsia" w:ascii="微软雅黑" w:hAnsi="微软雅黑" w:eastAsia="微软雅黑"/>
          <w:szCs w:val="21"/>
        </w:rPr>
        <w:t xml:space="preserve">  本合同作为</w:t>
      </w:r>
      <w:r>
        <w:rPr>
          <w:rFonts w:hint="eastAsia" w:ascii="微软雅黑" w:hAnsi="微软雅黑" w:eastAsia="微软雅黑"/>
          <w:szCs w:val="21"/>
          <w:lang w:val="en-US" w:eastAsia="zh-CN"/>
        </w:rPr>
        <w:t xml:space="preserve"> </w:t>
      </w:r>
      <w:r>
        <w:rPr>
          <w:rFonts w:hint="eastAsia" w:ascii="微软雅黑" w:hAnsi="微软雅黑" w:eastAsia="微软雅黑"/>
          <w:szCs w:val="21"/>
        </w:rPr>
        <w:t>《</w:t>
      </w:r>
      <w:r>
        <w:rPr>
          <w:rFonts w:hint="eastAsia" w:ascii="微软雅黑" w:hAnsi="微软雅黑" w:eastAsia="微软雅黑"/>
          <w:szCs w:val="21"/>
          <w:lang w:val="en-US" w:eastAsia="zh-CN"/>
        </w:rPr>
        <w:t>建筑消防设施维护保养合同</w:t>
      </w:r>
      <w:r>
        <w:rPr>
          <w:rFonts w:hint="eastAsia" w:ascii="微软雅黑" w:hAnsi="微软雅黑" w:eastAsia="微软雅黑"/>
          <w:szCs w:val="21"/>
        </w:rPr>
        <w:t>》</w:t>
      </w:r>
      <w:r>
        <w:rPr>
          <w:rFonts w:hint="eastAsia" w:ascii="微软雅黑" w:hAnsi="微软雅黑" w:eastAsia="微软雅黑"/>
          <w:szCs w:val="21"/>
          <w:lang w:val="en-US" w:eastAsia="zh-CN"/>
        </w:rPr>
        <w:t xml:space="preserve"> </w:t>
      </w:r>
      <w:r>
        <w:rPr>
          <w:rFonts w:hint="eastAsia" w:ascii="微软雅黑" w:hAnsi="微软雅黑" w:eastAsia="微软雅黑"/>
          <w:szCs w:val="21"/>
        </w:rPr>
        <w:t>的配套合同，具有同等法律效力。甲乙双方签署后立即生效。</w:t>
      </w:r>
    </w:p>
    <w:p w14:paraId="793188F9">
      <w:pPr>
        <w:adjustRightInd w:val="0"/>
        <w:snapToGrid w:val="0"/>
        <w:spacing w:line="480" w:lineRule="exact"/>
        <w:ind w:firstLine="480" w:firstLineChars="200"/>
        <w:rPr>
          <w:rFonts w:hint="eastAsia" w:ascii="微软雅黑" w:hAnsi="微软雅黑" w:eastAsia="微软雅黑"/>
          <w:szCs w:val="21"/>
        </w:rPr>
      </w:pPr>
      <w:r>
        <w:rPr>
          <w:rFonts w:hint="eastAsia" w:ascii="微软雅黑" w:hAnsi="微软雅黑" w:eastAsia="微软雅黑"/>
          <w:b/>
          <w:sz w:val="24"/>
          <w:lang w:val="en-US" w:eastAsia="zh-CN"/>
        </w:rPr>
        <w:t>第七条</w:t>
      </w:r>
      <w:r>
        <w:rPr>
          <w:rFonts w:hint="eastAsia" w:ascii="微软雅黑" w:hAnsi="微软雅黑" w:eastAsia="微软雅黑"/>
          <w:b/>
          <w:bCs/>
          <w:szCs w:val="21"/>
        </w:rPr>
        <w:t xml:space="preserve"> </w:t>
      </w:r>
      <w:r>
        <w:rPr>
          <w:rFonts w:hint="eastAsia" w:ascii="微软雅黑" w:hAnsi="微软雅黑" w:eastAsia="微软雅黑"/>
          <w:b/>
          <w:bCs/>
          <w:szCs w:val="21"/>
          <w:lang w:val="en-US" w:eastAsia="zh-CN"/>
        </w:rPr>
        <w:t xml:space="preserve"> </w:t>
      </w:r>
      <w:r>
        <w:rPr>
          <w:rFonts w:hint="eastAsia" w:ascii="微软雅黑" w:hAnsi="微软雅黑" w:eastAsia="微软雅黑"/>
          <w:szCs w:val="21"/>
          <w:lang w:eastAsia="zh-CN"/>
        </w:rPr>
        <w:t>本合同</w:t>
      </w:r>
      <w:r>
        <w:rPr>
          <w:rFonts w:hint="eastAsia" w:ascii="微软雅黑" w:hAnsi="微软雅黑" w:eastAsia="微软雅黑"/>
          <w:szCs w:val="21"/>
        </w:rPr>
        <w:t>的有效期为双方签署之日起至</w:t>
      </w:r>
      <w:r>
        <w:rPr>
          <w:rFonts w:hint="eastAsia" w:ascii="微软雅黑" w:hAnsi="微软雅黑" w:eastAsia="微软雅黑"/>
          <w:szCs w:val="21"/>
          <w:lang w:eastAsia="zh-CN"/>
        </w:rPr>
        <w:t>该合同期届满</w:t>
      </w:r>
      <w:r>
        <w:rPr>
          <w:rFonts w:hint="eastAsia" w:ascii="微软雅黑" w:hAnsi="微软雅黑" w:eastAsia="微软雅黑"/>
          <w:szCs w:val="21"/>
        </w:rPr>
        <w:t>时止。</w:t>
      </w:r>
    </w:p>
    <w:p w14:paraId="52DDBCF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 （以下无正文） </w:t>
      </w:r>
    </w:p>
    <w:p w14:paraId="62DF7EDD">
      <w:pPr>
        <w:adjustRightInd w:val="0"/>
        <w:snapToGrid w:val="0"/>
        <w:spacing w:line="480" w:lineRule="exact"/>
        <w:ind w:firstLine="420" w:firstLineChars="200"/>
        <w:rPr>
          <w:rFonts w:hint="eastAsia" w:ascii="微软雅黑" w:hAnsi="微软雅黑" w:eastAsia="微软雅黑"/>
          <w:szCs w:val="21"/>
        </w:rPr>
      </w:pPr>
    </w:p>
    <w:p w14:paraId="18D3A875">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 xml:space="preserve">甲方单位（盖章）：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乙方单位（盖章）：</w:t>
      </w:r>
    </w:p>
    <w:p w14:paraId="724C0E6B">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 xml:space="preserve">经办人：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经办人：</w:t>
      </w:r>
    </w:p>
    <w:p w14:paraId="5F3F296E">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地址：重庆市渝北区杨柳北路1号</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地址：</w:t>
      </w:r>
    </w:p>
    <w:p w14:paraId="374DF3FE">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 xml:space="preserve">电话：023-83232162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电话：</w:t>
      </w:r>
    </w:p>
    <w:p w14:paraId="4632938A">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 xml:space="preserve">甲方责任部门（盖章）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乙方责任部门（盖章）</w:t>
      </w:r>
    </w:p>
    <w:p w14:paraId="6716584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年   月   日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年   月   日</w:t>
      </w:r>
    </w:p>
    <w:p w14:paraId="6827455C">
      <w:pPr>
        <w:spacing w:line="560" w:lineRule="exact"/>
        <w:jc w:val="both"/>
        <w:rPr>
          <w:rFonts w:hint="eastAsia" w:ascii="宋体" w:hAnsi="宋体" w:eastAsia="宋体" w:cs="宋体"/>
          <w:b/>
          <w:bCs/>
          <w:color w:val="000000"/>
          <w:sz w:val="32"/>
          <w:szCs w:val="32"/>
          <w:lang w:val="en-US" w:eastAsia="zh-CN"/>
        </w:rPr>
      </w:pPr>
      <w:r>
        <w:rPr>
          <w:rFonts w:hint="eastAsia" w:ascii="宋体" w:hAnsi="宋体" w:eastAsia="宋体" w:cs="宋体"/>
          <w:color w:val="333333"/>
          <w:kern w:val="0"/>
          <w:sz w:val="28"/>
          <w:szCs w:val="28"/>
          <w:lang w:val="en-US" w:eastAsia="zh-CN"/>
        </w:rPr>
        <w:br w:type="page"/>
      </w:r>
      <w:r>
        <w:rPr>
          <w:rFonts w:hint="eastAsia" w:ascii="宋体" w:hAnsi="宋体"/>
          <w:b/>
          <w:bCs/>
          <w:snapToGrid w:val="0"/>
          <w:kern w:val="0"/>
          <w:sz w:val="28"/>
          <w:szCs w:val="28"/>
          <w:lang w:val="en-US" w:eastAsia="zh-CN"/>
        </w:rPr>
        <w:t>附件5：</w:t>
      </w:r>
    </w:p>
    <w:p w14:paraId="63C7862F">
      <w:pPr>
        <w:adjustRightInd w:val="0"/>
        <w:snapToGrid w:val="0"/>
        <w:spacing w:line="480" w:lineRule="exact"/>
        <w:jc w:val="center"/>
        <w:rPr>
          <w:rFonts w:hint="eastAsia" w:ascii="微软雅黑" w:hAnsi="微软雅黑" w:eastAsia="微软雅黑"/>
          <w:b/>
          <w:bCs/>
          <w:sz w:val="24"/>
          <w:szCs w:val="24"/>
        </w:rPr>
      </w:pPr>
      <w:r>
        <w:rPr>
          <w:rFonts w:hint="eastAsia" w:ascii="微软雅黑" w:hAnsi="微软雅黑" w:eastAsia="微软雅黑"/>
          <w:b/>
          <w:bCs/>
          <w:sz w:val="24"/>
          <w:szCs w:val="24"/>
        </w:rPr>
        <w:t>安全</w:t>
      </w:r>
      <w:r>
        <w:rPr>
          <w:rFonts w:hint="eastAsia" w:ascii="微软雅黑" w:hAnsi="微软雅黑" w:eastAsia="微软雅黑"/>
          <w:b/>
          <w:bCs/>
          <w:sz w:val="24"/>
          <w:szCs w:val="24"/>
          <w:lang w:val="en-US" w:eastAsia="zh-CN"/>
        </w:rPr>
        <w:t>责任</w:t>
      </w:r>
      <w:r>
        <w:rPr>
          <w:rFonts w:hint="eastAsia" w:ascii="微软雅黑" w:hAnsi="微软雅黑" w:eastAsia="微软雅黑"/>
          <w:b/>
          <w:bCs/>
          <w:sz w:val="24"/>
          <w:szCs w:val="24"/>
        </w:rPr>
        <w:t>协议</w:t>
      </w:r>
      <w:r>
        <w:rPr>
          <w:rFonts w:hint="eastAsia" w:ascii="微软雅黑" w:hAnsi="微软雅黑" w:eastAsia="微软雅黑"/>
          <w:b/>
          <w:bCs/>
          <w:sz w:val="24"/>
          <w:szCs w:val="24"/>
          <w:lang w:val="en-US" w:eastAsia="zh-CN"/>
        </w:rPr>
        <w:t>书</w:t>
      </w:r>
    </w:p>
    <w:p w14:paraId="4CA6479C">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rPr>
        <w:t>甲方：</w:t>
      </w:r>
      <w:r>
        <w:rPr>
          <w:rFonts w:hint="eastAsia" w:ascii="微软雅黑" w:hAnsi="微软雅黑" w:eastAsia="微软雅黑"/>
          <w:szCs w:val="21"/>
          <w:lang w:val="en-US" w:eastAsia="zh-CN"/>
        </w:rPr>
        <w:t>重庆市计量质量检测研究院</w:t>
      </w:r>
    </w:p>
    <w:p w14:paraId="7594676D">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乙方：</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承诺人</w:t>
      </w:r>
      <w:r>
        <w:rPr>
          <w:rFonts w:hint="eastAsia" w:ascii="微软雅黑" w:hAnsi="微软雅黑" w:eastAsia="微软雅黑"/>
          <w:szCs w:val="21"/>
          <w:lang w:eastAsia="zh-CN"/>
        </w:rPr>
        <w:t>）</w:t>
      </w:r>
    </w:p>
    <w:p w14:paraId="7926216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为加强</w:t>
      </w:r>
      <w:r>
        <w:rPr>
          <w:rFonts w:hint="eastAsia" w:ascii="微软雅黑" w:hAnsi="微软雅黑" w:eastAsia="微软雅黑"/>
          <w:szCs w:val="21"/>
          <w:u w:val="single"/>
        </w:rPr>
        <w:t xml:space="preserve"> 院本部和国家质检基地消防设施维保 </w:t>
      </w:r>
      <w:r>
        <w:rPr>
          <w:rFonts w:hint="eastAsia" w:ascii="微软雅黑" w:hAnsi="微软雅黑" w:eastAsia="微软雅黑"/>
          <w:szCs w:val="21"/>
        </w:rPr>
        <w:t>项目的安全管理，维护人身和财产安全，保障本协议约定项目工作顺利进行，根据</w:t>
      </w:r>
      <w:r>
        <w:rPr>
          <w:rFonts w:hint="eastAsia" w:ascii="微软雅黑" w:hAnsi="微软雅黑" w:eastAsia="微软雅黑"/>
          <w:szCs w:val="21"/>
          <w:lang w:val="en-US" w:eastAsia="zh-CN"/>
        </w:rPr>
        <w:t>有关</w:t>
      </w:r>
      <w:r>
        <w:rPr>
          <w:rFonts w:hint="eastAsia" w:ascii="微软雅黑" w:hAnsi="微软雅黑" w:eastAsia="微软雅黑"/>
          <w:szCs w:val="21"/>
        </w:rPr>
        <w:t>法律法规的基本原则，甲、乙双方经协商一致，就乙方的</w:t>
      </w:r>
      <w:r>
        <w:rPr>
          <w:rFonts w:hint="eastAsia" w:ascii="微软雅黑" w:hAnsi="微软雅黑" w:eastAsia="微软雅黑"/>
          <w:szCs w:val="21"/>
          <w:lang w:val="en-US" w:eastAsia="zh-CN"/>
        </w:rPr>
        <w:t>人员进入甲方属地区域</w:t>
      </w:r>
      <w:r>
        <w:rPr>
          <w:rFonts w:hint="eastAsia" w:ascii="微软雅黑" w:hAnsi="微软雅黑" w:eastAsia="微软雅黑"/>
          <w:szCs w:val="21"/>
        </w:rPr>
        <w:t>安全达成本协议，共同遵照执行。</w:t>
      </w:r>
    </w:p>
    <w:p w14:paraId="177BEE8D">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第一条  适用范围</w:t>
      </w:r>
    </w:p>
    <w:p w14:paraId="02CA612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本协议适用的范围：自本协议签订之日起，凡是甲方委托乙方的服务</w:t>
      </w:r>
      <w:r>
        <w:rPr>
          <w:rFonts w:hint="eastAsia" w:ascii="微软雅黑" w:hAnsi="微软雅黑" w:eastAsia="微软雅黑"/>
          <w:szCs w:val="21"/>
          <w:lang w:val="en-US" w:eastAsia="zh-CN"/>
        </w:rPr>
        <w:t>范围</w:t>
      </w:r>
      <w:r>
        <w:rPr>
          <w:rFonts w:hint="eastAsia" w:ascii="微软雅黑" w:hAnsi="微软雅黑" w:eastAsia="微软雅黑"/>
          <w:szCs w:val="21"/>
        </w:rPr>
        <w:t>均适用本协议，乙方承包服务的工作安全应当贯穿服务工作全部区域范围的全过程。服务工作应当符合国家的相关安全标准。</w:t>
      </w:r>
    </w:p>
    <w:p w14:paraId="393879FB">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第二条  甲方权利</w:t>
      </w:r>
    </w:p>
    <w:p w14:paraId="75DED1B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1．甲方有权督促、检查乙方落实各种安全防护措施，有权制止违章作业，确保劳动者和设备安全。</w:t>
      </w:r>
    </w:p>
    <w:p w14:paraId="730F5A2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2．在服务工作过程中发生的一切安全事故，甲方不负任何责任；但可协助乙方进行事故处理。</w:t>
      </w:r>
    </w:p>
    <w:p w14:paraId="772AB7D0">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第三条  乙方责任</w:t>
      </w:r>
    </w:p>
    <w:p w14:paraId="2C4A1FB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1．乙方必须对下属各员工的安全作业和安全保卫负责。</w:t>
      </w:r>
    </w:p>
    <w:p w14:paraId="0B14025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2．乙方应当制定服务工作安全的目标和措施，改善作业人员的作业环境和条件。</w:t>
      </w:r>
    </w:p>
    <w:p w14:paraId="54D8110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3．乙方应当建立施工安全保障体系，严禁使用未成年工和不适应现场安全作业要求的老、弱、病、残人员进行工作，以确保服务工作的顺利进行。</w:t>
      </w:r>
    </w:p>
    <w:p w14:paraId="1D19387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4．乙方应当按规定为下属各员工提供劳动防护用品、用具，并告知其正确的使用方法。</w:t>
      </w:r>
    </w:p>
    <w:p w14:paraId="77AB1E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5．乙方应当建立员工安全教育培训制度，未经安全教育、培训的员工不得上岗作业；特种作业人员，必须经过有关部门的安全技术培训，经考试合格，方可持证上岗。</w:t>
      </w:r>
    </w:p>
    <w:p w14:paraId="47EEEEF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6．乙方应当根据不同时期的作业防护要求，采取相应的工作安全防护措施，在作业中应设置明显安全标志；作业现场应当设有必要的预防危害人体健康和安全急救的设施及抢救措施。</w:t>
      </w:r>
    </w:p>
    <w:p w14:paraId="14B7ECF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7．现场作业安全防护措施应当符合国家劳动安全、卫生标准。</w:t>
      </w:r>
    </w:p>
    <w:p w14:paraId="318C52D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8．遵守当地政府和有关部门对场地文明作业、交通卫生和施工噪音等管理规定。严禁参与黄、赌、毒、邪，服从安全指导，确保劳动者安全。</w:t>
      </w:r>
    </w:p>
    <w:p w14:paraId="5406F71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9．乙方应当根据工作的特点编制作业组织设计，制定作业安全技术措施，并向作业工作人员进行书面安全技术交底，被交底人应当在交底书面材料上签字。</w:t>
      </w:r>
    </w:p>
    <w:p w14:paraId="3069A78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10．乙方应负责为作业人员购买必要的保险。在作业过程中若造成任何工程、财产的损失和人身伤亡的赔偿，由乙方承担全部责任及所发生的费用并处理善后。</w:t>
      </w:r>
    </w:p>
    <w:p w14:paraId="5754E97C">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11.乙方人员未经许可，禁止进入实验室、库房等非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w:t>
      </w:r>
      <w:r>
        <w:rPr>
          <w:rFonts w:hint="eastAsia" w:ascii="微软雅黑" w:hAnsi="微软雅黑" w:eastAsia="微软雅黑"/>
          <w:szCs w:val="21"/>
          <w:u w:val="single"/>
          <w:lang w:val="en-US" w:eastAsia="zh-CN"/>
        </w:rPr>
        <w:t xml:space="preserve"> 院本部和国家质检基地消防设施维保 </w:t>
      </w:r>
      <w:r>
        <w:rPr>
          <w:rFonts w:hint="eastAsia" w:ascii="微软雅黑" w:hAnsi="微软雅黑" w:eastAsia="微软雅黑"/>
          <w:szCs w:val="21"/>
          <w:lang w:val="en-US" w:eastAsia="zh-CN"/>
        </w:rPr>
        <w:t>项目款项，待事故处理完毕并无任何遗留问题再支付给乙方。给甲方造成损失的，直接在合同款项中予以扣除，不足部分甲方有权继续向乙方进行追索。</w:t>
      </w:r>
    </w:p>
    <w:p w14:paraId="1A73680A">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第四条  违约责任</w:t>
      </w:r>
    </w:p>
    <w:p w14:paraId="701514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1．若乙方违反本协议所约定之内容而导致发生各类安全事故的，造成的一切法律后果由乙方自行承担；甲方不负任何责任。</w:t>
      </w:r>
    </w:p>
    <w:p w14:paraId="75271B5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2．若乙方在作业区域和作业过程中未按有关安全法律、法规做好安全措施而导致发生各类安全事故的，乙方应承担一切法律后果，与甲方无关。</w:t>
      </w:r>
    </w:p>
    <w:p w14:paraId="693776F5">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第五条  争议的解决</w:t>
      </w:r>
    </w:p>
    <w:p w14:paraId="4F66304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1．本协议适用中华人民共和国有关法律，受中华人民共和国法律管辖。</w:t>
      </w:r>
    </w:p>
    <w:p w14:paraId="7A9425F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2．本协议各方当事人对本协议有关条款的解释或履行发生争议时，应通过友好协商的方式予以解决。双方约定，凡因本协议发生的一切争议，当和解或调解不成时，应依法向甲方所在地人民</w:t>
      </w: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"https://www.66law.cn/special/fayuan/" \t "_blank" \o "法院" </w:instrText>
      </w:r>
      <w:r>
        <w:rPr>
          <w:rFonts w:hint="eastAsia" w:ascii="微软雅黑" w:hAnsi="微软雅黑" w:eastAsia="微软雅黑"/>
          <w:szCs w:val="21"/>
        </w:rPr>
        <w:fldChar w:fldCharType="separate"/>
      </w:r>
      <w:r>
        <w:rPr>
          <w:rFonts w:hint="eastAsia" w:ascii="微软雅黑" w:hAnsi="微软雅黑" w:eastAsia="微软雅黑"/>
          <w:szCs w:val="21"/>
        </w:rPr>
        <w:t>法院</w:t>
      </w:r>
      <w:r>
        <w:rPr>
          <w:rFonts w:hint="eastAsia" w:ascii="微软雅黑" w:hAnsi="微软雅黑" w:eastAsia="微软雅黑"/>
          <w:szCs w:val="21"/>
        </w:rPr>
        <w:fldChar w:fldCharType="end"/>
      </w:r>
      <w:r>
        <w:rPr>
          <w:rFonts w:hint="eastAsia" w:ascii="微软雅黑" w:hAnsi="微软雅黑" w:eastAsia="微软雅黑"/>
          <w:szCs w:val="21"/>
        </w:rPr>
        <w:t>提起诉讼。守约方因主张权利产生的诉讼费、律师代理费、仲裁费、财产保全费、咨询费、保全担保/保险费、差旅费、通讯费、执行费、评估费、鉴定费、拍卖费、公证费、公告费等，由违约方承担。</w:t>
      </w:r>
    </w:p>
    <w:p w14:paraId="583655B3">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第六条  不可抗力</w:t>
      </w:r>
    </w:p>
    <w:p w14:paraId="2B9416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1．在本协议履行过程中，如因不可抗力导致活动终止或带来损失，甲乙双方各自承担自己损失，互不承担违约责任。</w:t>
      </w:r>
    </w:p>
    <w:p w14:paraId="354D361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2．任何一方因遇到不可抗力致使全部或部分不能履行或迟延履行本协议的，应自不可抗力事件发生之日起 10 日内，将不可抗力情况以书面形式通知另一方，并自不可抗力发生之日起 10 日内，向另一方提交导致其全部或部分不能履行或迟延履行的证明。</w:t>
      </w:r>
    </w:p>
    <w:p w14:paraId="509E23E4">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第七条  变更与补充</w:t>
      </w:r>
    </w:p>
    <w:p w14:paraId="2732673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1．本协议中如有未尽事宜，由双方当事人共同协商一致，签订书面补充协议，书面补充协议与本协议具有同等法律效力。</w:t>
      </w:r>
    </w:p>
    <w:p w14:paraId="6571FA5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2．除法律本身有明确规定外，后继立法（本协议生效后的立法）或法律变更对本协议不应构成影响。各方应根据后继立法或法律变更，经协商一致对本协议进行修改或补充，但应采取书面形式。</w:t>
      </w:r>
    </w:p>
    <w:p w14:paraId="50FF6948">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第八条  通知</w:t>
      </w:r>
    </w:p>
    <w:p w14:paraId="24085E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协议双方所署地址真实有效，一方（含法院等司法机关）向对方按合同所署地址送达相关文书、资料的，自邮寄之日起3日内视为送达；若一方地址发生变更的，应在变更后2日内通知对方，否则按本合同所署地址送达均为有效送达。</w:t>
      </w:r>
    </w:p>
    <w:p w14:paraId="58DDB869">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第九条  生效</w:t>
      </w:r>
    </w:p>
    <w:p w14:paraId="3879162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本协议壹式 </w:t>
      </w:r>
      <w:r>
        <w:rPr>
          <w:rFonts w:hint="eastAsia" w:ascii="微软雅黑" w:hAnsi="微软雅黑" w:eastAsia="微软雅黑"/>
          <w:szCs w:val="21"/>
          <w:lang w:val="en-US" w:eastAsia="zh-CN"/>
        </w:rPr>
        <w:t>4</w:t>
      </w:r>
      <w:r>
        <w:rPr>
          <w:rFonts w:hint="eastAsia" w:ascii="微软雅黑" w:hAnsi="微软雅黑" w:eastAsia="微软雅黑"/>
          <w:szCs w:val="21"/>
        </w:rPr>
        <w:t xml:space="preserve"> 份，协议双方各执 </w:t>
      </w:r>
      <w:r>
        <w:rPr>
          <w:rFonts w:hint="eastAsia" w:ascii="微软雅黑" w:hAnsi="微软雅黑" w:eastAsia="微软雅黑"/>
          <w:szCs w:val="21"/>
          <w:lang w:val="en-US" w:eastAsia="zh-CN"/>
        </w:rPr>
        <w:t>2</w:t>
      </w:r>
      <w:r>
        <w:rPr>
          <w:rFonts w:hint="eastAsia" w:ascii="微软雅黑" w:hAnsi="微软雅黑" w:eastAsia="微软雅黑"/>
          <w:szCs w:val="21"/>
        </w:rPr>
        <w:t xml:space="preserve"> 份。由双方法定代表人或授权的代理人签署与加盖公章后生效。</w:t>
      </w:r>
    </w:p>
    <w:p w14:paraId="587CCBC7">
      <w:pPr>
        <w:adjustRightInd w:val="0"/>
        <w:snapToGrid w:val="0"/>
        <w:spacing w:line="480" w:lineRule="exact"/>
        <w:ind w:firstLine="420" w:firstLineChars="200"/>
        <w:rPr>
          <w:rFonts w:hint="eastAsia" w:ascii="微软雅黑" w:hAnsi="微软雅黑" w:eastAsia="微软雅黑"/>
          <w:szCs w:val="21"/>
        </w:rPr>
      </w:pPr>
    </w:p>
    <w:p w14:paraId="5F870396">
      <w:pPr>
        <w:adjustRightInd w:val="0"/>
        <w:snapToGrid w:val="0"/>
        <w:spacing w:line="480" w:lineRule="exact"/>
        <w:ind w:firstLine="420" w:firstLineChars="200"/>
        <w:rPr>
          <w:rFonts w:hint="eastAsia" w:ascii="微软雅黑" w:hAnsi="微软雅黑" w:eastAsia="微软雅黑"/>
          <w:szCs w:val="21"/>
        </w:rPr>
      </w:pPr>
    </w:p>
    <w:p w14:paraId="47805949">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 xml:space="preserve">甲方（盖章）：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乙方（盖章）：</w:t>
      </w:r>
      <w:r>
        <w:rPr>
          <w:rFonts w:hint="eastAsia" w:ascii="微软雅黑" w:hAnsi="微软雅黑" w:eastAsia="微软雅黑"/>
          <w:szCs w:val="21"/>
          <w:lang w:val="en-US" w:eastAsia="zh-CN"/>
        </w:rPr>
        <w:t xml:space="preserve"> </w:t>
      </w:r>
    </w:p>
    <w:p w14:paraId="765620F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法定代表人（签字）</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法定代表人（签字）</w:t>
      </w:r>
    </w:p>
    <w:p w14:paraId="0705845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授权代理人：（签字）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授权代理人：（签字）</w:t>
      </w:r>
    </w:p>
    <w:p w14:paraId="40BD0F2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联系电话：</w:t>
      </w:r>
      <w:r>
        <w:rPr>
          <w:rFonts w:hint="eastAsia" w:ascii="微软雅黑" w:hAnsi="微软雅黑" w:eastAsia="微软雅黑"/>
          <w:szCs w:val="21"/>
          <w:lang w:val="en-US" w:eastAsia="zh-CN"/>
        </w:rPr>
        <w:t xml:space="preserve">023-83232162              </w:t>
      </w:r>
      <w:r>
        <w:rPr>
          <w:rFonts w:hint="eastAsia" w:ascii="微软雅黑" w:hAnsi="微软雅黑" w:eastAsia="微软雅黑"/>
          <w:szCs w:val="21"/>
        </w:rPr>
        <w:t>联系电话：</w:t>
      </w:r>
    </w:p>
    <w:p w14:paraId="78E0739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地址：</w:t>
      </w:r>
      <w:r>
        <w:rPr>
          <w:rFonts w:hint="eastAsia" w:ascii="微软雅黑" w:hAnsi="微软雅黑" w:eastAsia="微软雅黑"/>
          <w:szCs w:val="21"/>
          <w:lang w:val="en-US" w:eastAsia="zh-CN"/>
        </w:rPr>
        <w:t xml:space="preserve">重庆市渝北区杨柳北路1号        </w:t>
      </w:r>
      <w:r>
        <w:rPr>
          <w:rFonts w:hint="eastAsia" w:ascii="微软雅黑" w:hAnsi="微软雅黑" w:eastAsia="微软雅黑"/>
          <w:szCs w:val="21"/>
        </w:rPr>
        <w:t>地址：</w:t>
      </w:r>
    </w:p>
    <w:p w14:paraId="08AE6B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日期：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日期：</w:t>
      </w:r>
    </w:p>
    <w:p w14:paraId="3246A2BD">
      <w:pPr>
        <w:keepLines w:val="0"/>
        <w:pageBreakBefore w:val="0"/>
        <w:kinsoku/>
        <w:wordWrap/>
        <w:overflowPunct/>
        <w:topLinePunct w:val="0"/>
        <w:autoSpaceDE/>
        <w:autoSpaceDN/>
        <w:bidi w:val="0"/>
        <w:spacing w:line="480" w:lineRule="exact"/>
        <w:textAlignment w:val="auto"/>
        <w:rPr>
          <w:rFonts w:ascii="微软雅黑" w:hAnsi="微软雅黑" w:eastAsia="微软雅黑"/>
          <w:b/>
          <w:sz w:val="36"/>
          <w:szCs w:val="36"/>
        </w:rPr>
      </w:pPr>
      <w:r>
        <w:rPr>
          <w:rFonts w:hint="eastAsia" w:ascii="微软雅黑" w:hAnsi="微软雅黑" w:eastAsia="微软雅黑" w:cs="Times New Roman"/>
          <w:szCs w:val="21"/>
        </w:rPr>
        <w:br w:type="page"/>
      </w:r>
    </w:p>
    <w:p w14:paraId="538B7623">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54" w:name="_Toc11957"/>
      <w:r>
        <w:rPr>
          <w:rFonts w:hint="eastAsia" w:ascii="微软雅黑" w:hAnsi="微软雅黑" w:eastAsia="微软雅黑"/>
          <w:bCs w:val="0"/>
          <w:kern w:val="2"/>
          <w:szCs w:val="36"/>
        </w:rPr>
        <w:t>第</w:t>
      </w:r>
      <w:r>
        <w:rPr>
          <w:rFonts w:ascii="微软雅黑" w:hAnsi="微软雅黑" w:eastAsia="微软雅黑"/>
          <w:bCs w:val="0"/>
          <w:kern w:val="2"/>
          <w:szCs w:val="36"/>
        </w:rPr>
        <w:t>四章</w:t>
      </w:r>
      <w:r>
        <w:rPr>
          <w:rFonts w:hint="eastAsia" w:ascii="微软雅黑" w:hAnsi="微软雅黑" w:eastAsia="微软雅黑"/>
          <w:bCs w:val="0"/>
          <w:kern w:val="2"/>
          <w:szCs w:val="36"/>
        </w:rPr>
        <w:t xml:space="preserve"> </w:t>
      </w:r>
      <w:r>
        <w:rPr>
          <w:rFonts w:hint="eastAsia" w:ascii="微软雅黑" w:hAnsi="微软雅黑" w:eastAsia="微软雅黑"/>
          <w:bCs w:val="0"/>
          <w:kern w:val="2"/>
          <w:szCs w:val="36"/>
          <w:lang w:val="en-US" w:eastAsia="zh-CN"/>
        </w:rPr>
        <w:t>项目</w:t>
      </w:r>
      <w:r>
        <w:rPr>
          <w:rFonts w:hint="eastAsia" w:ascii="微软雅黑" w:hAnsi="微软雅黑" w:eastAsia="微软雅黑"/>
          <w:bCs w:val="0"/>
          <w:kern w:val="2"/>
          <w:szCs w:val="36"/>
        </w:rPr>
        <w:t>需求及说明</w:t>
      </w:r>
      <w:bookmarkEnd w:id="54"/>
    </w:p>
    <w:bookmarkEnd w:id="51"/>
    <w:bookmarkEnd w:id="52"/>
    <w:p w14:paraId="4A056D25">
      <w:pPr>
        <w:spacing w:line="440" w:lineRule="exact"/>
        <w:ind w:firstLine="480" w:firstLineChars="200"/>
        <w:jc w:val="both"/>
        <w:rPr>
          <w:rFonts w:ascii="微软雅黑" w:hAnsi="微软雅黑" w:eastAsia="微软雅黑"/>
          <w:b/>
          <w:sz w:val="24"/>
        </w:rPr>
      </w:pPr>
      <w:bookmarkStart w:id="55" w:name="_Hlk111475022"/>
      <w:r>
        <w:rPr>
          <w:rFonts w:hint="eastAsia" w:ascii="微软雅黑" w:hAnsi="微软雅黑" w:eastAsia="微软雅黑"/>
          <w:b/>
          <w:sz w:val="24"/>
        </w:rPr>
        <w:t>一、项目名称</w:t>
      </w:r>
    </w:p>
    <w:bookmarkEnd w:id="55"/>
    <w:p w14:paraId="708CB944">
      <w:pPr>
        <w:spacing w:line="440" w:lineRule="exact"/>
        <w:ind w:firstLine="420" w:firstLineChars="200"/>
        <w:jc w:val="both"/>
        <w:rPr>
          <w:rFonts w:hint="eastAsia" w:ascii="微软雅黑" w:hAnsi="微软雅黑" w:eastAsia="微软雅黑"/>
          <w:szCs w:val="32"/>
          <w:lang w:eastAsia="zh-CN"/>
        </w:rPr>
      </w:pPr>
      <w:r>
        <w:rPr>
          <w:rFonts w:hint="eastAsia" w:ascii="微软雅黑" w:hAnsi="微软雅黑" w:eastAsia="微软雅黑"/>
          <w:szCs w:val="32"/>
          <w:lang w:eastAsia="zh-CN"/>
        </w:rPr>
        <w:t>院本部和国家质检基地消防设施维保项目</w:t>
      </w:r>
    </w:p>
    <w:p w14:paraId="40858637">
      <w:pPr>
        <w:snapToGrid w:val="0"/>
        <w:spacing w:line="440" w:lineRule="exact"/>
        <w:ind w:firstLine="480" w:firstLineChars="200"/>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Times New Roman"/>
          <w:b/>
          <w:kern w:val="2"/>
          <w:sz w:val="24"/>
          <w:szCs w:val="24"/>
          <w:lang w:val="en-US" w:eastAsia="zh-CN" w:bidi="ar-SA"/>
        </w:rPr>
        <w:t>二、</w:t>
      </w:r>
      <w:r>
        <w:rPr>
          <w:rFonts w:hint="eastAsia" w:ascii="微软雅黑" w:hAnsi="微软雅黑" w:eastAsia="微软雅黑"/>
          <w:b/>
          <w:sz w:val="24"/>
          <w:lang w:val="en-US" w:eastAsia="zh-CN"/>
        </w:rPr>
        <w:t>项目</w:t>
      </w:r>
      <w:r>
        <w:rPr>
          <w:rFonts w:hint="eastAsia" w:ascii="微软雅黑" w:hAnsi="微软雅黑" w:eastAsia="微软雅黑"/>
          <w:b/>
          <w:sz w:val="24"/>
        </w:rPr>
        <w:t>需求</w:t>
      </w:r>
    </w:p>
    <w:p w14:paraId="18A1B8CF">
      <w:pPr>
        <w:spacing w:line="440" w:lineRule="exact"/>
        <w:ind w:firstLine="420" w:firstLineChars="200"/>
        <w:jc w:val="both"/>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院本部：综合楼、计量楼、质检楼、食品楼、石油制品楼，建筑面积为38858平方米；</w:t>
      </w:r>
    </w:p>
    <w:p w14:paraId="1E26AB4B">
      <w:pPr>
        <w:spacing w:line="440" w:lineRule="exact"/>
        <w:ind w:firstLine="420" w:firstLineChars="200"/>
        <w:jc w:val="both"/>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国家质检基地：能源计量中心、电气中心、导航产品中心、汽摩中心、应用工程（应用工程中心，热工流量中心，石油天然气大流量计量站），建筑面积为74371.06平方米。</w:t>
      </w:r>
    </w:p>
    <w:p w14:paraId="526C7088">
      <w:pPr>
        <w:spacing w:line="440" w:lineRule="exact"/>
        <w:ind w:firstLine="420" w:firstLineChars="200"/>
        <w:jc w:val="both"/>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维保服务范围内消防设施设备，包括：火灾自动报警及联动控制系统；室内、外消火栓给水系统；自动喷水灭火系统；气体灭火系统；防排烟系统；防火分隔设施（防火卷帘、防火门）；消防通讯系统及应急广播系统；消防设施供配电设施（只负责消防主电和备电源切换，不负责配电房和柴油发电机供电系统）；其他建筑消防设施（消防电梯、灭火器）等。</w:t>
      </w:r>
    </w:p>
    <w:p w14:paraId="1AFDCCCF">
      <w:pPr>
        <w:spacing w:line="440" w:lineRule="exact"/>
        <w:ind w:firstLine="480" w:firstLineChars="200"/>
        <w:jc w:val="both"/>
        <w:rPr>
          <w:rFonts w:ascii="微软雅黑" w:hAnsi="微软雅黑" w:eastAsia="微软雅黑"/>
          <w:b/>
          <w:sz w:val="24"/>
        </w:rPr>
      </w:pPr>
      <w:r>
        <w:rPr>
          <w:rFonts w:hint="eastAsia" w:ascii="微软雅黑" w:hAnsi="微软雅黑" w:eastAsia="微软雅黑"/>
          <w:b/>
          <w:sz w:val="24"/>
        </w:rPr>
        <w:t>三、商务要求</w:t>
      </w:r>
    </w:p>
    <w:p w14:paraId="18C7116F">
      <w:pPr>
        <w:snapToGrid w:val="0"/>
        <w:spacing w:line="440" w:lineRule="exact"/>
        <w:ind w:firstLine="420" w:firstLineChars="200"/>
        <w:rPr>
          <w:rFonts w:ascii="微软雅黑" w:hAnsi="微软雅黑" w:eastAsia="微软雅黑"/>
          <w:kern w:val="0"/>
          <w:szCs w:val="21"/>
          <w:highlight w:val="yellow"/>
        </w:rPr>
      </w:pPr>
      <w:r>
        <w:rPr>
          <w:rFonts w:hint="eastAsia" w:ascii="微软雅黑" w:hAnsi="微软雅黑" w:eastAsia="微软雅黑" w:cs="宋体"/>
          <w:b/>
          <w:kern w:val="0"/>
          <w:szCs w:val="21"/>
        </w:rPr>
        <w:t>（一）</w:t>
      </w:r>
      <w:r>
        <w:rPr>
          <w:rFonts w:hint="eastAsia" w:ascii="微软雅黑" w:hAnsi="微软雅黑" w:eastAsia="微软雅黑" w:cs="宋体"/>
          <w:b/>
          <w:kern w:val="0"/>
          <w:szCs w:val="21"/>
          <w:lang w:val="en-US" w:eastAsia="zh-CN"/>
        </w:rPr>
        <w:t>维保时间：合同签订之日起1年。</w:t>
      </w:r>
    </w:p>
    <w:p w14:paraId="64DFB0F7">
      <w:pPr>
        <w:tabs>
          <w:tab w:val="left" w:pos="3168"/>
        </w:tabs>
        <w:snapToGrid w:val="0"/>
        <w:spacing w:line="440" w:lineRule="exact"/>
        <w:ind w:firstLine="420" w:firstLineChars="200"/>
        <w:rPr>
          <w:rFonts w:ascii="微软雅黑" w:hAnsi="微软雅黑" w:eastAsia="微软雅黑" w:cs="宋体"/>
          <w:b/>
          <w:kern w:val="0"/>
          <w:szCs w:val="21"/>
        </w:rPr>
      </w:pPr>
      <w:r>
        <w:rPr>
          <w:rFonts w:hint="eastAsia" w:ascii="微软雅黑" w:hAnsi="微软雅黑" w:eastAsia="微软雅黑" w:cs="宋体"/>
          <w:b/>
          <w:kern w:val="0"/>
          <w:szCs w:val="21"/>
        </w:rPr>
        <w:t>（二）</w:t>
      </w:r>
      <w:r>
        <w:rPr>
          <w:rFonts w:hint="eastAsia" w:ascii="微软雅黑" w:hAnsi="微软雅黑" w:eastAsia="微软雅黑" w:cs="宋体"/>
          <w:b/>
          <w:kern w:val="0"/>
          <w:szCs w:val="21"/>
          <w:lang w:val="en-US" w:eastAsia="zh-CN"/>
        </w:rPr>
        <w:t>服务</w:t>
      </w:r>
      <w:r>
        <w:rPr>
          <w:rFonts w:hint="eastAsia" w:ascii="微软雅黑" w:hAnsi="微软雅黑" w:eastAsia="微软雅黑" w:cs="宋体"/>
          <w:b/>
          <w:kern w:val="0"/>
          <w:szCs w:val="21"/>
        </w:rPr>
        <w:t>地点</w:t>
      </w:r>
    </w:p>
    <w:p w14:paraId="48FB2D34">
      <w:pPr>
        <w:snapToGrid w:val="0"/>
        <w:spacing w:line="440" w:lineRule="exact"/>
        <w:ind w:firstLine="420" w:firstLineChars="200"/>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kern w:val="0"/>
          <w:szCs w:val="21"/>
          <w:lang w:val="en-US" w:eastAsia="zh-CN"/>
        </w:rPr>
        <w:t>重庆市渝北区杨柳北路1号、3号，九龙坡区金凤镇新金大道9号。</w:t>
      </w:r>
    </w:p>
    <w:p w14:paraId="428B8376">
      <w:pPr>
        <w:snapToGrid w:val="0"/>
        <w:spacing w:line="440" w:lineRule="exact"/>
        <w:ind w:firstLine="420" w:firstLineChars="200"/>
        <w:rPr>
          <w:rFonts w:ascii="微软雅黑" w:hAnsi="微软雅黑" w:eastAsia="微软雅黑" w:cs="宋体"/>
          <w:b/>
          <w:color w:val="000000" w:themeColor="text1"/>
          <w:kern w:val="0"/>
          <w:szCs w:val="21"/>
          <w14:textFill>
            <w14:solidFill>
              <w14:schemeClr w14:val="tx1"/>
            </w14:solidFill>
          </w14:textFill>
        </w:rPr>
      </w:pPr>
      <w:r>
        <w:rPr>
          <w:rFonts w:hint="eastAsia" w:ascii="微软雅黑" w:hAnsi="微软雅黑" w:eastAsia="微软雅黑" w:cs="宋体"/>
          <w:b/>
          <w:color w:val="000000" w:themeColor="text1"/>
          <w:kern w:val="0"/>
          <w:szCs w:val="21"/>
          <w14:textFill>
            <w14:solidFill>
              <w14:schemeClr w14:val="tx1"/>
            </w14:solidFill>
          </w14:textFill>
        </w:rPr>
        <w:t>（三）验收方式</w:t>
      </w:r>
    </w:p>
    <w:p w14:paraId="0553B0AD">
      <w:pPr>
        <w:snapToGrid w:val="0"/>
        <w:spacing w:line="440" w:lineRule="exact"/>
        <w:ind w:firstLine="420" w:firstLineChars="200"/>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1.验收组织单位：</w:t>
      </w:r>
      <w:r>
        <w:rPr>
          <w:rFonts w:hint="eastAsia" w:ascii="微软雅黑" w:hAnsi="微软雅黑" w:eastAsia="微软雅黑" w:cs="宋体"/>
          <w:color w:val="000000" w:themeColor="text1"/>
          <w:kern w:val="0"/>
          <w:szCs w:val="21"/>
          <w:lang w:eastAsia="zh-CN"/>
          <w14:textFill>
            <w14:solidFill>
              <w14:schemeClr w14:val="tx1"/>
            </w14:solidFill>
          </w14:textFill>
        </w:rPr>
        <w:t>重庆市计量质量检测研究院</w:t>
      </w:r>
    </w:p>
    <w:p w14:paraId="47B57B2A">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2.验收标准：</w:t>
      </w:r>
      <w:r>
        <w:rPr>
          <w:rFonts w:hint="eastAsia" w:ascii="微软雅黑" w:hAnsi="微软雅黑" w:eastAsia="微软雅黑" w:cs="宋体"/>
          <w:color w:val="000000" w:themeColor="text1"/>
          <w:kern w:val="0"/>
          <w:szCs w:val="21"/>
          <w:lang w:val="en-US" w:eastAsia="zh-CN"/>
          <w14:textFill>
            <w14:solidFill>
              <w14:schemeClr w14:val="tx1"/>
            </w14:solidFill>
          </w14:textFill>
        </w:rPr>
        <w:t>采购人按比选文件规定、合同约定进行验收，如验收达不到规定要求，</w:t>
      </w:r>
      <w:r>
        <w:rPr>
          <w:rFonts w:hint="eastAsia" w:ascii="微软雅黑" w:hAnsi="微软雅黑" w:eastAsia="微软雅黑" w:cs="宋体"/>
          <w:color w:val="000000" w:themeColor="text1"/>
          <w:kern w:val="0"/>
          <w:szCs w:val="21"/>
          <w14:textFill>
            <w14:solidFill>
              <w14:schemeClr w14:val="tx1"/>
            </w14:solidFill>
          </w14:textFill>
        </w:rPr>
        <w:t>成交供应商应立即进行整改，整改后仍不合格的，则视为验收不合格，采购人有权立即终止合同</w:t>
      </w:r>
      <w:r>
        <w:rPr>
          <w:rFonts w:hint="eastAsia" w:ascii="微软雅黑" w:hAnsi="微软雅黑" w:eastAsia="微软雅黑" w:cs="宋体"/>
          <w:color w:val="000000" w:themeColor="text1"/>
          <w:kern w:val="0"/>
          <w:szCs w:val="21"/>
          <w:lang w:val="en-US" w:eastAsia="zh-CN"/>
          <w14:textFill>
            <w14:solidFill>
              <w14:schemeClr w14:val="tx1"/>
            </w14:solidFill>
          </w14:textFill>
        </w:rPr>
        <w:t>，对采购人造成一定的损失，成交供应商承担一切责任，并赔偿所造成的损失。</w:t>
      </w:r>
    </w:p>
    <w:p w14:paraId="39C0C954">
      <w:pPr>
        <w:snapToGrid w:val="0"/>
        <w:spacing w:line="440" w:lineRule="exact"/>
        <w:ind w:firstLine="420" w:firstLineChars="200"/>
        <w:rPr>
          <w:rFonts w:ascii="微软雅黑" w:hAnsi="微软雅黑" w:eastAsia="微软雅黑" w:cs="宋体"/>
          <w:b/>
          <w:kern w:val="0"/>
          <w:szCs w:val="21"/>
        </w:rPr>
      </w:pPr>
      <w:bookmarkStart w:id="56" w:name="_Toc48560545"/>
      <w:bookmarkStart w:id="57" w:name="_Toc10652242"/>
      <w:bookmarkStart w:id="58" w:name="_Toc267320050"/>
      <w:r>
        <w:rPr>
          <w:rFonts w:hint="eastAsia" w:ascii="微软雅黑" w:hAnsi="微软雅黑" w:eastAsia="微软雅黑" w:cs="宋体"/>
          <w:b/>
          <w:kern w:val="0"/>
          <w:szCs w:val="21"/>
        </w:rPr>
        <w:t>（四）报价要求</w:t>
      </w:r>
      <w:bookmarkEnd w:id="56"/>
      <w:bookmarkEnd w:id="57"/>
    </w:p>
    <w:p w14:paraId="64E345ED">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本次报价须为人民币报价，响应报价为供应商对</w:t>
      </w:r>
      <w:r>
        <w:rPr>
          <w:rFonts w:hint="eastAsia" w:ascii="微软雅黑" w:hAnsi="微软雅黑" w:eastAsia="微软雅黑" w:cs="宋体"/>
          <w:kern w:val="0"/>
          <w:szCs w:val="21"/>
          <w:lang w:val="en-US" w:eastAsia="zh-CN"/>
        </w:rPr>
        <w:t>比选</w:t>
      </w:r>
      <w:r>
        <w:rPr>
          <w:rFonts w:hint="eastAsia" w:ascii="微软雅黑" w:hAnsi="微软雅黑" w:eastAsia="微软雅黑" w:cs="宋体"/>
          <w:kern w:val="0"/>
          <w:szCs w:val="21"/>
        </w:rPr>
        <w:t>文件所确定的全部工作内容，包含完成本项目所需的材料费、人工费、运输费、保险费、管理费、各种应缴税费等一切可预见和不可预见的、合同明示或暗示的应由供应商承担的一切责任、义务和风险等所有费用</w:t>
      </w:r>
      <w:r>
        <w:rPr>
          <w:rFonts w:hint="eastAsia" w:ascii="微软雅黑" w:hAnsi="微软雅黑" w:eastAsia="微软雅黑" w:cs="宋体"/>
          <w:b/>
          <w:bCs/>
          <w:kern w:val="0"/>
          <w:szCs w:val="21"/>
        </w:rPr>
        <w:t>。</w:t>
      </w:r>
    </w:p>
    <w:bookmarkEnd w:id="58"/>
    <w:p w14:paraId="22F0198D">
      <w:pPr>
        <w:snapToGrid w:val="0"/>
        <w:spacing w:line="440" w:lineRule="exact"/>
        <w:ind w:firstLine="420" w:firstLineChars="200"/>
        <w:rPr>
          <w:rFonts w:ascii="微软雅黑" w:hAnsi="微软雅黑" w:eastAsia="微软雅黑" w:cs="宋体"/>
          <w:b/>
          <w:kern w:val="0"/>
          <w:szCs w:val="21"/>
        </w:rPr>
      </w:pPr>
      <w:bookmarkStart w:id="59" w:name="_Toc267320054"/>
      <w:bookmarkStart w:id="60" w:name="_Toc48560550"/>
      <w:r>
        <w:rPr>
          <w:rFonts w:hint="eastAsia" w:ascii="微软雅黑" w:hAnsi="微软雅黑" w:eastAsia="微软雅黑" w:cs="宋体"/>
          <w:b/>
          <w:kern w:val="0"/>
          <w:szCs w:val="21"/>
        </w:rPr>
        <w:t>（</w:t>
      </w:r>
      <w:bookmarkEnd w:id="59"/>
      <w:r>
        <w:rPr>
          <w:rFonts w:hint="eastAsia" w:ascii="微软雅黑" w:hAnsi="微软雅黑" w:eastAsia="微软雅黑" w:cs="宋体"/>
          <w:b/>
          <w:kern w:val="0"/>
          <w:szCs w:val="21"/>
        </w:rPr>
        <w:t>六）其他商务要求内容</w:t>
      </w:r>
      <w:bookmarkEnd w:id="60"/>
    </w:p>
    <w:p w14:paraId="1ED265F8">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1.供应商必须在响应文件中对以上条款和</w:t>
      </w:r>
      <w:r>
        <w:rPr>
          <w:rFonts w:hint="eastAsia" w:ascii="微软雅黑" w:hAnsi="微软雅黑" w:eastAsia="微软雅黑" w:cs="宋体"/>
          <w:kern w:val="0"/>
          <w:szCs w:val="21"/>
          <w:lang w:val="en-US" w:eastAsia="zh-CN"/>
        </w:rPr>
        <w:t>施工</w:t>
      </w:r>
      <w:r>
        <w:rPr>
          <w:rFonts w:hint="eastAsia" w:ascii="微软雅黑" w:hAnsi="微软雅黑" w:eastAsia="微软雅黑" w:cs="宋体"/>
          <w:kern w:val="0"/>
          <w:szCs w:val="21"/>
        </w:rPr>
        <w:t>承诺明确列出，承诺内容必须达到本篇及比选文件其他条款的要求。</w:t>
      </w:r>
    </w:p>
    <w:p w14:paraId="23EFF258">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2.其他未尽事宜由供需双方在采购合同中详细约定。</w:t>
      </w:r>
    </w:p>
    <w:p w14:paraId="7473DBA7">
      <w:pPr>
        <w:rPr>
          <w:rFonts w:ascii="微软雅黑" w:hAnsi="微软雅黑" w:eastAsia="微软雅黑" w:cs="宋体"/>
          <w:kern w:val="0"/>
          <w:szCs w:val="21"/>
        </w:rPr>
      </w:pPr>
      <w:r>
        <w:rPr>
          <w:rFonts w:ascii="微软雅黑" w:hAnsi="微软雅黑" w:eastAsia="微软雅黑" w:cs="宋体"/>
          <w:kern w:val="0"/>
          <w:szCs w:val="21"/>
        </w:rPr>
        <w:br w:type="page"/>
      </w:r>
    </w:p>
    <w:p w14:paraId="61B40F6E">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61" w:name="_Toc31230"/>
      <w:r>
        <w:rPr>
          <w:rFonts w:hint="eastAsia" w:ascii="微软雅黑" w:hAnsi="微软雅黑" w:eastAsia="微软雅黑"/>
          <w:bCs w:val="0"/>
          <w:kern w:val="2"/>
          <w:szCs w:val="36"/>
        </w:rPr>
        <w:t>第</w:t>
      </w:r>
      <w:r>
        <w:rPr>
          <w:rFonts w:ascii="微软雅黑" w:hAnsi="微软雅黑" w:eastAsia="微软雅黑"/>
          <w:bCs w:val="0"/>
          <w:kern w:val="2"/>
          <w:szCs w:val="36"/>
        </w:rPr>
        <w:t>五章</w:t>
      </w:r>
      <w:r>
        <w:rPr>
          <w:rFonts w:hint="eastAsia" w:ascii="微软雅黑" w:hAnsi="微软雅黑" w:eastAsia="微软雅黑"/>
          <w:bCs w:val="0"/>
          <w:kern w:val="2"/>
          <w:szCs w:val="36"/>
        </w:rPr>
        <w:t xml:space="preserve"> 比选响应文件格式</w:t>
      </w:r>
      <w:bookmarkEnd w:id="61"/>
    </w:p>
    <w:p w14:paraId="695A0340">
      <w:pPr>
        <w:jc w:val="center"/>
        <w:rPr>
          <w:rFonts w:ascii="微软雅黑" w:hAnsi="微软雅黑" w:eastAsia="微软雅黑"/>
          <w:kern w:val="44"/>
          <w:sz w:val="36"/>
          <w:szCs w:val="36"/>
          <w:u w:val="single"/>
        </w:rPr>
      </w:pPr>
      <w:bookmarkStart w:id="62" w:name="_Toc10213451"/>
      <w:bookmarkStart w:id="63" w:name="_Toc68963480"/>
      <w:r>
        <w:rPr>
          <w:rFonts w:hint="eastAsia" w:ascii="微软雅黑" w:hAnsi="微软雅黑" w:eastAsia="微软雅黑"/>
          <w:kern w:val="44"/>
          <w:sz w:val="36"/>
          <w:szCs w:val="36"/>
          <w:u w:val="single"/>
        </w:rPr>
        <w:t xml:space="preserve"> </w:t>
      </w:r>
      <w:r>
        <w:rPr>
          <w:rFonts w:ascii="微软雅黑" w:hAnsi="微软雅黑" w:eastAsia="微软雅黑"/>
          <w:kern w:val="44"/>
          <w:sz w:val="36"/>
          <w:szCs w:val="36"/>
          <w:u w:val="single"/>
        </w:rPr>
        <w:t xml:space="preserve"> </w:t>
      </w:r>
      <w:r>
        <w:rPr>
          <w:rFonts w:hint="eastAsia" w:ascii="微软雅黑" w:hAnsi="微软雅黑" w:eastAsia="微软雅黑"/>
          <w:kern w:val="44"/>
          <w:sz w:val="36"/>
          <w:szCs w:val="36"/>
          <w:u w:val="single"/>
        </w:rPr>
        <w:t xml:space="preserve"> 项目名称    </w:t>
      </w:r>
    </w:p>
    <w:p w14:paraId="701A834C">
      <w:pPr>
        <w:jc w:val="center"/>
        <w:rPr>
          <w:rFonts w:ascii="微软雅黑" w:hAnsi="微软雅黑" w:eastAsia="微软雅黑"/>
          <w:kern w:val="44"/>
          <w:sz w:val="32"/>
          <w:szCs w:val="32"/>
        </w:rPr>
      </w:pPr>
    </w:p>
    <w:p w14:paraId="457589D7">
      <w:pPr>
        <w:jc w:val="center"/>
        <w:rPr>
          <w:rFonts w:ascii="微软雅黑" w:hAnsi="微软雅黑" w:eastAsia="微软雅黑"/>
          <w:kern w:val="44"/>
          <w:sz w:val="32"/>
          <w:szCs w:val="32"/>
        </w:rPr>
      </w:pPr>
    </w:p>
    <w:p w14:paraId="25A559E8">
      <w:pPr>
        <w:jc w:val="center"/>
        <w:rPr>
          <w:rFonts w:ascii="微软雅黑" w:hAnsi="微软雅黑" w:eastAsia="微软雅黑"/>
          <w:b/>
          <w:sz w:val="52"/>
          <w:szCs w:val="52"/>
        </w:rPr>
      </w:pPr>
      <w:r>
        <w:rPr>
          <w:rFonts w:hint="eastAsia" w:ascii="微软雅黑" w:hAnsi="微软雅黑" w:eastAsia="微软雅黑"/>
          <w:b/>
          <w:sz w:val="52"/>
          <w:szCs w:val="52"/>
        </w:rPr>
        <w:t>比 选 响 应 文 件</w:t>
      </w:r>
    </w:p>
    <w:p w14:paraId="0870AF6C">
      <w:pPr>
        <w:rPr>
          <w:rFonts w:ascii="微软雅黑" w:hAnsi="微软雅黑" w:eastAsia="微软雅黑"/>
        </w:rPr>
      </w:pPr>
    </w:p>
    <w:p w14:paraId="0A6D3103">
      <w:pPr>
        <w:rPr>
          <w:rFonts w:ascii="微软雅黑" w:hAnsi="微软雅黑" w:eastAsia="微软雅黑"/>
        </w:rPr>
      </w:pPr>
    </w:p>
    <w:p w14:paraId="086886C4">
      <w:pPr>
        <w:rPr>
          <w:rFonts w:ascii="微软雅黑" w:hAnsi="微软雅黑" w:eastAsia="微软雅黑"/>
        </w:rPr>
      </w:pPr>
    </w:p>
    <w:p w14:paraId="5675D4AC">
      <w:pPr>
        <w:rPr>
          <w:rFonts w:ascii="微软雅黑" w:hAnsi="微软雅黑" w:eastAsia="微软雅黑"/>
        </w:rPr>
      </w:pPr>
    </w:p>
    <w:p w14:paraId="12AB8E34">
      <w:pPr>
        <w:rPr>
          <w:rFonts w:ascii="微软雅黑" w:hAnsi="微软雅黑" w:eastAsia="微软雅黑"/>
        </w:rPr>
      </w:pPr>
    </w:p>
    <w:p w14:paraId="602D04B5">
      <w:pPr>
        <w:rPr>
          <w:rFonts w:ascii="微软雅黑" w:hAnsi="微软雅黑" w:eastAsia="微软雅黑"/>
        </w:rPr>
      </w:pPr>
    </w:p>
    <w:p w14:paraId="23019426">
      <w:pPr>
        <w:rPr>
          <w:rFonts w:ascii="微软雅黑" w:hAnsi="微软雅黑" w:eastAsia="微软雅黑"/>
        </w:rPr>
      </w:pPr>
    </w:p>
    <w:p w14:paraId="679B9B2E">
      <w:pPr>
        <w:rPr>
          <w:rFonts w:ascii="微软雅黑" w:hAnsi="微软雅黑" w:eastAsia="微软雅黑"/>
        </w:rPr>
      </w:pPr>
    </w:p>
    <w:p w14:paraId="5B894677">
      <w:pPr>
        <w:rPr>
          <w:rFonts w:ascii="微软雅黑" w:hAnsi="微软雅黑" w:eastAsia="微软雅黑"/>
        </w:rPr>
      </w:pPr>
    </w:p>
    <w:p w14:paraId="349209DD">
      <w:pPr>
        <w:rPr>
          <w:rFonts w:ascii="微软雅黑" w:hAnsi="微软雅黑" w:eastAsia="微软雅黑"/>
        </w:rPr>
      </w:pPr>
    </w:p>
    <w:p w14:paraId="2F630F41">
      <w:pPr>
        <w:ind w:left="1418" w:leftChars="675"/>
        <w:rPr>
          <w:rFonts w:ascii="微软雅黑" w:hAnsi="微软雅黑" w:eastAsia="微软雅黑"/>
          <w:sz w:val="28"/>
          <w:szCs w:val="28"/>
        </w:rPr>
      </w:pPr>
      <w:r>
        <w:rPr>
          <w:rFonts w:hint="eastAsia" w:ascii="微软雅黑" w:hAnsi="微软雅黑" w:eastAsia="微软雅黑"/>
          <w:sz w:val="28"/>
          <w:szCs w:val="28"/>
        </w:rPr>
        <w:t>供应商名称（盖章）：</w:t>
      </w:r>
    </w:p>
    <w:p w14:paraId="610BA83D">
      <w:pPr>
        <w:ind w:left="1418" w:leftChars="675"/>
        <w:rPr>
          <w:rFonts w:ascii="微软雅黑" w:hAnsi="微软雅黑" w:eastAsia="微软雅黑"/>
          <w:sz w:val="28"/>
          <w:szCs w:val="28"/>
        </w:rPr>
      </w:pPr>
      <w:r>
        <w:rPr>
          <w:rFonts w:hint="eastAsia" w:ascii="微软雅黑" w:hAnsi="微软雅黑" w:eastAsia="微软雅黑"/>
          <w:sz w:val="28"/>
          <w:szCs w:val="28"/>
        </w:rPr>
        <w:t>法定代表人或授权人签字：</w:t>
      </w:r>
    </w:p>
    <w:p w14:paraId="1D55F213">
      <w:pPr>
        <w:ind w:left="1418" w:leftChars="675"/>
        <w:rPr>
          <w:rFonts w:ascii="微软雅黑" w:hAnsi="微软雅黑" w:eastAsia="微软雅黑"/>
          <w:sz w:val="28"/>
          <w:szCs w:val="28"/>
        </w:rPr>
      </w:pPr>
    </w:p>
    <w:p w14:paraId="28CF9752">
      <w:pPr>
        <w:jc w:val="center"/>
        <w:rPr>
          <w:rFonts w:ascii="微软雅黑" w:hAnsi="微软雅黑" w:eastAsia="微软雅黑"/>
          <w:sz w:val="28"/>
          <w:szCs w:val="28"/>
        </w:rPr>
      </w:pPr>
    </w:p>
    <w:p w14:paraId="4EE87C1C">
      <w:pPr>
        <w:jc w:val="center"/>
        <w:rPr>
          <w:rFonts w:ascii="微软雅黑" w:hAnsi="微软雅黑" w:eastAsia="微软雅黑"/>
          <w:sz w:val="28"/>
          <w:szCs w:val="28"/>
        </w:rPr>
      </w:pPr>
      <w:r>
        <w:rPr>
          <w:rFonts w:hint="eastAsia" w:ascii="微软雅黑" w:hAnsi="微软雅黑" w:eastAsia="微软雅黑"/>
          <w:sz w:val="28"/>
          <w:szCs w:val="28"/>
        </w:rPr>
        <w:t>日期：  年   月   日</w:t>
      </w:r>
    </w:p>
    <w:p w14:paraId="7677A353">
      <w:pPr>
        <w:rPr>
          <w:rFonts w:ascii="微软雅黑" w:hAnsi="微软雅黑" w:eastAsia="微软雅黑"/>
          <w:sz w:val="32"/>
        </w:rPr>
      </w:pPr>
      <w:r>
        <w:rPr>
          <w:rFonts w:hint="eastAsia" w:ascii="微软雅黑" w:hAnsi="微软雅黑" w:eastAsia="微软雅黑"/>
          <w:sz w:val="32"/>
        </w:rPr>
        <w:br w:type="page"/>
      </w:r>
    </w:p>
    <w:p w14:paraId="2A8F1D61">
      <w:pPr>
        <w:pStyle w:val="3"/>
        <w:rPr>
          <w:rFonts w:ascii="微软雅黑" w:hAnsi="微软雅黑" w:eastAsia="微软雅黑"/>
          <w:sz w:val="32"/>
        </w:rPr>
      </w:pPr>
      <w:bookmarkStart w:id="64" w:name="_Toc8400"/>
      <w:r>
        <w:rPr>
          <w:rFonts w:hint="eastAsia" w:ascii="微软雅黑" w:hAnsi="微软雅黑" w:eastAsia="微软雅黑"/>
          <w:sz w:val="32"/>
        </w:rPr>
        <w:t>一、比选函</w:t>
      </w:r>
      <w:bookmarkEnd w:id="62"/>
      <w:bookmarkEnd w:id="63"/>
      <w:bookmarkEnd w:id="64"/>
    </w:p>
    <w:p w14:paraId="76B9AD74"/>
    <w:p w14:paraId="7AA5E471">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 xml:space="preserve">比选编号： </w:t>
      </w:r>
    </w:p>
    <w:p w14:paraId="236DBFFF">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 xml:space="preserve">项目名称： </w:t>
      </w:r>
    </w:p>
    <w:p w14:paraId="52B6E4D0">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b/>
          <w:bCs/>
          <w:szCs w:val="21"/>
        </w:rPr>
        <w:t xml:space="preserve">致: </w:t>
      </w:r>
      <w:r>
        <w:rPr>
          <w:rFonts w:hint="eastAsia" w:ascii="微软雅黑" w:hAnsi="微软雅黑" w:eastAsia="微软雅黑"/>
          <w:szCs w:val="21"/>
        </w:rPr>
        <w:t>（采购人名称）：</w:t>
      </w:r>
    </w:p>
    <w:p w14:paraId="17D1BCD5">
      <w:pPr>
        <w:tabs>
          <w:tab w:val="left" w:pos="2700"/>
        </w:tabs>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1、我们收到并研究了贵单位的比选文件，对全部比选文件予以确认，愿意按比选文件规定的内容，承担本项目的供货及技术服务，并保证严格履行我们所承诺的责任和义务。</w:t>
      </w:r>
    </w:p>
    <w:p w14:paraId="1E005917">
      <w:pPr>
        <w:tabs>
          <w:tab w:val="left" w:pos="2700"/>
        </w:tabs>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2、我单位针对本项目的报价为</w:t>
      </w:r>
      <w:r>
        <w:rPr>
          <w:rFonts w:hint="eastAsia" w:ascii="微软雅黑" w:hAnsi="微软雅黑" w:eastAsia="微软雅黑" w:cs="仿宋"/>
          <w:szCs w:val="21"/>
        </w:rPr>
        <w:t>人民币小写</w:t>
      </w:r>
      <w:r>
        <w:rPr>
          <w:rFonts w:ascii="微软雅黑" w:hAnsi="微软雅黑" w:eastAsia="微软雅黑"/>
          <w:szCs w:val="21"/>
          <w:u w:val="single"/>
        </w:rPr>
        <w:t xml:space="preserve">     </w:t>
      </w:r>
      <w:r>
        <w:rPr>
          <w:rFonts w:hint="eastAsia" w:ascii="微软雅黑" w:hAnsi="微软雅黑" w:eastAsia="微软雅黑"/>
          <w:bCs/>
          <w:szCs w:val="21"/>
          <w:u w:val="single"/>
        </w:rPr>
        <w:t xml:space="preserve">    </w:t>
      </w:r>
      <w:r>
        <w:rPr>
          <w:rFonts w:hint="eastAsia" w:ascii="微软雅黑" w:hAnsi="微软雅黑" w:eastAsia="微软雅黑"/>
          <w:bCs/>
          <w:szCs w:val="21"/>
        </w:rPr>
        <w:t xml:space="preserve"> </w:t>
      </w:r>
      <w:r>
        <w:rPr>
          <w:rFonts w:hint="eastAsia" w:ascii="微软雅黑" w:hAnsi="微软雅黑" w:eastAsia="微软雅黑"/>
          <w:szCs w:val="21"/>
        </w:rPr>
        <w:t>，</w:t>
      </w:r>
      <w:r>
        <w:rPr>
          <w:rFonts w:hint="eastAsia" w:ascii="微软雅黑" w:hAnsi="微软雅黑" w:eastAsia="微软雅黑" w:cs="仿宋"/>
          <w:szCs w:val="21"/>
        </w:rPr>
        <w:t>人民币大写</w:t>
      </w:r>
      <w:r>
        <w:rPr>
          <w:rFonts w:hint="eastAsia" w:ascii="微软雅黑" w:hAnsi="微软雅黑" w:eastAsia="微软雅黑" w:cs="仿宋"/>
          <w:szCs w:val="21"/>
          <w:u w:val="single"/>
        </w:rPr>
        <w:t xml:space="preserve">          </w:t>
      </w:r>
      <w:r>
        <w:rPr>
          <w:rFonts w:hint="eastAsia" w:ascii="微软雅黑" w:hAnsi="微软雅黑" w:eastAsia="微软雅黑" w:cs="仿宋"/>
          <w:szCs w:val="21"/>
        </w:rPr>
        <w:t>，</w:t>
      </w:r>
      <w:r>
        <w:rPr>
          <w:rFonts w:hint="eastAsia" w:ascii="微软雅黑" w:hAnsi="微软雅黑" w:eastAsia="微软雅黑"/>
          <w:szCs w:val="21"/>
        </w:rPr>
        <w:t>本比选报价己考虑了所有因素，比选有效期内，比选价格保持不变。</w:t>
      </w:r>
    </w:p>
    <w:p w14:paraId="7E0FBD1D">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3、我们已详细审查全部比选文件，包括修改文件（如果有的话）以及全部参考资料和有关附件。我们完全理解并同意放弃对这方面有不明及误解的权利。</w:t>
      </w:r>
    </w:p>
    <w:p w14:paraId="0622C7F2">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4、如果我们成交</w:t>
      </w:r>
      <w:r>
        <w:rPr>
          <w:rFonts w:ascii="微软雅黑" w:hAnsi="微软雅黑" w:eastAsia="微软雅黑"/>
          <w:szCs w:val="21"/>
        </w:rPr>
        <w:t>，</w:t>
      </w:r>
      <w:r>
        <w:rPr>
          <w:rFonts w:hint="eastAsia" w:ascii="微软雅黑" w:hAnsi="微软雅黑" w:eastAsia="微软雅黑"/>
          <w:szCs w:val="21"/>
        </w:rPr>
        <w:t>我们保证按比选文件的要求和比选供应商签订</w:t>
      </w:r>
      <w:r>
        <w:rPr>
          <w:rFonts w:hint="eastAsia" w:ascii="微软雅黑" w:hAnsi="微软雅黑" w:eastAsia="微软雅黑"/>
          <w:szCs w:val="21"/>
          <w:lang w:val="en-US" w:eastAsia="zh-CN"/>
        </w:rPr>
        <w:t>施工</w:t>
      </w:r>
      <w:r>
        <w:rPr>
          <w:rFonts w:hint="eastAsia" w:ascii="微软雅黑" w:hAnsi="微软雅黑" w:eastAsia="微软雅黑"/>
          <w:szCs w:val="21"/>
        </w:rPr>
        <w:t>合同，并成立项目部，选派专业管理人员和</w:t>
      </w:r>
      <w:r>
        <w:rPr>
          <w:rFonts w:hint="eastAsia" w:ascii="微软雅黑" w:hAnsi="微软雅黑" w:eastAsia="微软雅黑"/>
          <w:szCs w:val="21"/>
          <w:lang w:val="en-US" w:eastAsia="zh-CN"/>
        </w:rPr>
        <w:t>施工</w:t>
      </w:r>
      <w:r>
        <w:rPr>
          <w:rFonts w:hint="eastAsia" w:ascii="微软雅黑" w:hAnsi="微软雅黑" w:eastAsia="微软雅黑"/>
          <w:szCs w:val="21"/>
        </w:rPr>
        <w:t>人员实施</w:t>
      </w:r>
      <w:r>
        <w:rPr>
          <w:rFonts w:hint="eastAsia" w:ascii="微软雅黑" w:hAnsi="微软雅黑" w:eastAsia="微软雅黑"/>
          <w:szCs w:val="21"/>
          <w:lang w:val="en-US" w:eastAsia="zh-CN"/>
        </w:rPr>
        <w:t>项目</w:t>
      </w:r>
      <w:r>
        <w:rPr>
          <w:rFonts w:hint="eastAsia" w:ascii="微软雅黑" w:hAnsi="微软雅黑" w:eastAsia="微软雅黑"/>
          <w:szCs w:val="21"/>
        </w:rPr>
        <w:t>合同。</w:t>
      </w:r>
    </w:p>
    <w:p w14:paraId="2CB9474D">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5、我们同意从比选之日起</w:t>
      </w:r>
      <w:r>
        <w:rPr>
          <w:rFonts w:hint="eastAsia" w:ascii="微软雅黑" w:hAnsi="微软雅黑" w:eastAsia="微软雅黑"/>
          <w:szCs w:val="21"/>
          <w:u w:val="single"/>
          <w:lang w:val="en-US" w:eastAsia="zh-CN"/>
        </w:rPr>
        <w:t>3</w:t>
      </w:r>
      <w:r>
        <w:rPr>
          <w:rFonts w:hint="eastAsia" w:ascii="微软雅黑" w:hAnsi="微软雅黑" w:eastAsia="微软雅黑"/>
          <w:szCs w:val="21"/>
          <w:u w:val="single"/>
        </w:rPr>
        <w:t>0</w:t>
      </w:r>
      <w:r>
        <w:rPr>
          <w:rFonts w:hint="eastAsia" w:ascii="微软雅黑" w:hAnsi="微软雅黑" w:eastAsia="微软雅黑"/>
          <w:szCs w:val="21"/>
        </w:rPr>
        <w:t>天内遵守本比选文件，在此期限期满之前的任何时间，本比选文件一直对我们具有约束力。</w:t>
      </w:r>
    </w:p>
    <w:p w14:paraId="6E6F2DA5">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6、在制定和执行正式合同之前，本比选文件、比选响应文件连同你方书面的中选通知书，应构成我们双方之间有约束力的合同。</w:t>
      </w:r>
    </w:p>
    <w:p w14:paraId="31C13C94">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7、我们理解你们并不一定接受最低标报价的比选或受到的任何比选响应文件的约束</w:t>
      </w:r>
      <w:r>
        <w:rPr>
          <w:rFonts w:ascii="微软雅黑" w:hAnsi="微软雅黑" w:eastAsia="微软雅黑"/>
          <w:szCs w:val="21"/>
        </w:rPr>
        <w:t>，</w:t>
      </w:r>
      <w:r>
        <w:rPr>
          <w:rFonts w:hint="eastAsia" w:ascii="微软雅黑" w:hAnsi="微软雅黑" w:eastAsia="微软雅黑"/>
          <w:szCs w:val="21"/>
        </w:rPr>
        <w:t>同时也理解，你方不负担我们的任何比选费用。</w:t>
      </w:r>
    </w:p>
    <w:p w14:paraId="454D6032">
      <w:pPr>
        <w:adjustRightInd w:val="0"/>
        <w:snapToGrid w:val="0"/>
        <w:spacing w:line="440" w:lineRule="exact"/>
        <w:rPr>
          <w:rFonts w:hint="eastAsia" w:ascii="微软雅黑" w:hAnsi="微软雅黑" w:eastAsia="微软雅黑"/>
          <w:szCs w:val="21"/>
        </w:rPr>
      </w:pPr>
    </w:p>
    <w:p w14:paraId="2A46F585">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szCs w:val="21"/>
        </w:rPr>
        <w:t>比选供应商：</w:t>
      </w:r>
      <w:r>
        <w:rPr>
          <w:rFonts w:hint="eastAsia" w:ascii="微软雅黑" w:hAnsi="微软雅黑" w:eastAsia="微软雅黑"/>
          <w:szCs w:val="21"/>
          <w:u w:val="single"/>
        </w:rPr>
        <w:t xml:space="preserve">  （公章） </w:t>
      </w:r>
      <w:r>
        <w:rPr>
          <w:rFonts w:ascii="微软雅黑" w:hAnsi="微软雅黑" w:eastAsia="微软雅黑"/>
          <w:szCs w:val="21"/>
          <w:u w:val="single"/>
        </w:rPr>
        <w:t xml:space="preserve">         </w:t>
      </w:r>
    </w:p>
    <w:p w14:paraId="3A8B1F50">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法定代表人或其授权代理人（签字）：</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p>
    <w:p w14:paraId="37F6A621">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地址：</w:t>
      </w:r>
    </w:p>
    <w:p w14:paraId="1DD5D1D8">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电话：</w:t>
      </w:r>
    </w:p>
    <w:p w14:paraId="01EBA03A">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传真：</w:t>
      </w:r>
    </w:p>
    <w:p w14:paraId="498CCFA6">
      <w:pPr>
        <w:adjustRightInd w:val="0"/>
        <w:snapToGrid w:val="0"/>
        <w:spacing w:line="440" w:lineRule="exact"/>
        <w:rPr>
          <w:rFonts w:asciiTheme="minorEastAsia" w:hAnsiTheme="minorEastAsia" w:eastAsiaTheme="minorEastAsia"/>
          <w:sz w:val="24"/>
          <w:szCs w:val="21"/>
        </w:rPr>
      </w:pPr>
      <w:r>
        <w:rPr>
          <w:rFonts w:hint="eastAsia" w:ascii="微软雅黑" w:hAnsi="微软雅黑" w:eastAsia="微软雅黑"/>
          <w:szCs w:val="21"/>
        </w:rPr>
        <w:t xml:space="preserve">日期： </w:t>
      </w:r>
      <w:r>
        <w:rPr>
          <w:rFonts w:ascii="微软雅黑" w:hAnsi="微软雅黑" w:eastAsia="微软雅黑"/>
          <w:szCs w:val="21"/>
        </w:rPr>
        <w:t xml:space="preserve">      </w:t>
      </w:r>
      <w:r>
        <w:rPr>
          <w:rFonts w:hint="eastAsia" w:ascii="微软雅黑" w:hAnsi="微软雅黑" w:eastAsia="微软雅黑"/>
          <w:szCs w:val="21"/>
        </w:rPr>
        <w:t xml:space="preserve">年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月 </w:t>
      </w:r>
      <w:r>
        <w:rPr>
          <w:rFonts w:ascii="微软雅黑" w:hAnsi="微软雅黑" w:eastAsia="微软雅黑"/>
          <w:szCs w:val="21"/>
        </w:rPr>
        <w:t xml:space="preserve">  </w:t>
      </w:r>
      <w:r>
        <w:rPr>
          <w:rFonts w:hint="eastAsia" w:ascii="微软雅黑" w:hAnsi="微软雅黑" w:eastAsia="微软雅黑"/>
          <w:szCs w:val="21"/>
        </w:rPr>
        <w:t>日</w:t>
      </w:r>
      <w:bookmarkStart w:id="65" w:name="_Toc68963488"/>
    </w:p>
    <w:p w14:paraId="1F616909">
      <w:pPr>
        <w:adjustRightInd w:val="0"/>
        <w:snapToGrid w:val="0"/>
        <w:spacing w:line="360" w:lineRule="auto"/>
        <w:rPr>
          <w:rFonts w:asciiTheme="minorEastAsia" w:hAnsiTheme="minorEastAsia" w:eastAsiaTheme="minorEastAsia"/>
          <w:sz w:val="24"/>
          <w:szCs w:val="21"/>
        </w:rPr>
        <w:sectPr>
          <w:headerReference r:id="rId11" w:type="default"/>
          <w:footerReference r:id="rId12" w:type="default"/>
          <w:pgSz w:w="11906" w:h="16838"/>
          <w:pgMar w:top="851" w:right="1134" w:bottom="851"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39300E1">
      <w:pPr>
        <w:pStyle w:val="18"/>
      </w:pPr>
    </w:p>
    <w:p w14:paraId="5AA76BC3">
      <w:pPr>
        <w:pStyle w:val="3"/>
        <w:rPr>
          <w:rFonts w:cs="仿宋" w:asciiTheme="minorEastAsia" w:hAnsiTheme="minorEastAsia" w:eastAsiaTheme="minorEastAsia"/>
          <w:b/>
          <w:bCs/>
          <w:sz w:val="24"/>
          <w:szCs w:val="21"/>
        </w:rPr>
      </w:pPr>
      <w:bookmarkStart w:id="66" w:name="_Toc10213455"/>
      <w:bookmarkStart w:id="67" w:name="_Toc29701"/>
      <w:r>
        <w:rPr>
          <w:rFonts w:hint="eastAsia" w:ascii="微软雅黑" w:hAnsi="微软雅黑" w:eastAsia="微软雅黑"/>
          <w:sz w:val="32"/>
        </w:rPr>
        <w:t>二、比选报价明细表</w:t>
      </w:r>
      <w:bookmarkEnd w:id="66"/>
      <w:bookmarkEnd w:id="67"/>
    </w:p>
    <w:p w14:paraId="7AD32803">
      <w:pPr>
        <w:spacing w:line="560" w:lineRule="exact"/>
        <w:ind w:firstLine="420" w:firstLineChars="200"/>
        <w:rPr>
          <w:rFonts w:hint="eastAsia"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院本部和国家质检基地消防设施维保项目</w:t>
      </w:r>
      <w:r>
        <w:rPr>
          <w:rFonts w:hint="eastAsia" w:ascii="微软雅黑" w:hAnsi="微软雅黑" w:eastAsia="微软雅黑"/>
          <w:szCs w:val="21"/>
        </w:rPr>
        <w:t xml:space="preserve">                      单位：元</w:t>
      </w:r>
    </w:p>
    <w:tbl>
      <w:tblPr>
        <w:tblStyle w:val="285"/>
        <w:tblW w:w="97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3285"/>
        <w:gridCol w:w="1620"/>
        <w:gridCol w:w="1597"/>
        <w:gridCol w:w="2533"/>
      </w:tblGrid>
      <w:tr w14:paraId="29769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718" w:type="dxa"/>
            <w:vAlign w:val="center"/>
          </w:tcPr>
          <w:p w14:paraId="27265E2E">
            <w:pPr>
              <w:pStyle w:val="147"/>
              <w:spacing w:before="223" w:line="210" w:lineRule="auto"/>
              <w:ind w:left="75"/>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序号</w:t>
            </w:r>
          </w:p>
        </w:tc>
        <w:tc>
          <w:tcPr>
            <w:tcW w:w="3285" w:type="dxa"/>
            <w:vAlign w:val="center"/>
          </w:tcPr>
          <w:p w14:paraId="263098DC">
            <w:pPr>
              <w:pStyle w:val="147"/>
              <w:spacing w:before="231" w:line="22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项目名称</w:t>
            </w:r>
          </w:p>
        </w:tc>
        <w:tc>
          <w:tcPr>
            <w:tcW w:w="1620" w:type="dxa"/>
            <w:vAlign w:val="center"/>
          </w:tcPr>
          <w:p w14:paraId="37FC3DE4">
            <w:pPr>
              <w:pStyle w:val="147"/>
              <w:spacing w:before="231" w:line="22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建筑面积/平方</w:t>
            </w:r>
          </w:p>
        </w:tc>
        <w:tc>
          <w:tcPr>
            <w:tcW w:w="1597" w:type="dxa"/>
            <w:vAlign w:val="center"/>
          </w:tcPr>
          <w:p w14:paraId="2F901D47">
            <w:pPr>
              <w:pStyle w:val="147"/>
              <w:spacing w:before="231" w:line="220" w:lineRule="auto"/>
              <w:jc w:val="center"/>
              <w:rPr>
                <w:rFonts w:hint="default"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合计/元</w:t>
            </w:r>
          </w:p>
        </w:tc>
        <w:tc>
          <w:tcPr>
            <w:tcW w:w="2533" w:type="dxa"/>
            <w:vAlign w:val="center"/>
          </w:tcPr>
          <w:p w14:paraId="77F67FA5">
            <w:pPr>
              <w:pStyle w:val="147"/>
              <w:spacing w:before="231" w:line="22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维保期限</w:t>
            </w:r>
          </w:p>
        </w:tc>
      </w:tr>
      <w:tr w14:paraId="454F1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718" w:type="dxa"/>
            <w:vAlign w:val="center"/>
          </w:tcPr>
          <w:p w14:paraId="4A16680A">
            <w:pPr>
              <w:pStyle w:val="147"/>
              <w:spacing w:before="191" w:line="241"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w:t>
            </w:r>
          </w:p>
        </w:tc>
        <w:tc>
          <w:tcPr>
            <w:tcW w:w="3285" w:type="dxa"/>
            <w:vAlign w:val="center"/>
          </w:tcPr>
          <w:p w14:paraId="1C974918">
            <w:pPr>
              <w:pStyle w:val="147"/>
              <w:spacing w:before="191" w:line="220" w:lineRule="auto"/>
              <w:jc w:val="center"/>
              <w:rPr>
                <w:rFonts w:hint="default"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重庆市计量质量检测研究院院本部</w:t>
            </w:r>
          </w:p>
        </w:tc>
        <w:tc>
          <w:tcPr>
            <w:tcW w:w="1620" w:type="dxa"/>
            <w:vAlign w:val="center"/>
          </w:tcPr>
          <w:p w14:paraId="75CC874A">
            <w:pPr>
              <w:pStyle w:val="147"/>
              <w:spacing w:before="191" w:line="239"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38858</w:t>
            </w:r>
          </w:p>
        </w:tc>
        <w:tc>
          <w:tcPr>
            <w:tcW w:w="1597" w:type="dxa"/>
            <w:vAlign w:val="center"/>
          </w:tcPr>
          <w:p w14:paraId="05E01690">
            <w:pPr>
              <w:pStyle w:val="147"/>
              <w:spacing w:before="191" w:line="239" w:lineRule="auto"/>
              <w:jc w:val="center"/>
              <w:rPr>
                <w:rFonts w:hint="default" w:ascii="微软雅黑" w:hAnsi="微软雅黑" w:eastAsia="微软雅黑" w:cs="Times New Roman"/>
                <w:kern w:val="2"/>
                <w:sz w:val="21"/>
                <w:szCs w:val="21"/>
                <w:lang w:val="en-US" w:eastAsia="zh-CN" w:bidi="ar-SA"/>
              </w:rPr>
            </w:pPr>
          </w:p>
        </w:tc>
        <w:tc>
          <w:tcPr>
            <w:tcW w:w="2533" w:type="dxa"/>
            <w:vMerge w:val="restart"/>
            <w:vAlign w:val="center"/>
          </w:tcPr>
          <w:p w14:paraId="1761D8A7">
            <w:pPr>
              <w:pStyle w:val="147"/>
              <w:spacing w:before="192" w:line="219"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壹年</w:t>
            </w:r>
          </w:p>
        </w:tc>
      </w:tr>
      <w:tr w14:paraId="1877C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718" w:type="dxa"/>
            <w:vAlign w:val="center"/>
          </w:tcPr>
          <w:p w14:paraId="39DC551B">
            <w:pPr>
              <w:pStyle w:val="147"/>
              <w:spacing w:before="181"/>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w:t>
            </w:r>
          </w:p>
        </w:tc>
        <w:tc>
          <w:tcPr>
            <w:tcW w:w="3285" w:type="dxa"/>
            <w:vAlign w:val="center"/>
          </w:tcPr>
          <w:p w14:paraId="32BFBD2C">
            <w:pPr>
              <w:pStyle w:val="147"/>
              <w:spacing w:before="182" w:line="22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国家质检基地</w:t>
            </w:r>
          </w:p>
        </w:tc>
        <w:tc>
          <w:tcPr>
            <w:tcW w:w="1620" w:type="dxa"/>
            <w:vAlign w:val="center"/>
          </w:tcPr>
          <w:p w14:paraId="4661AE47">
            <w:pPr>
              <w:pStyle w:val="147"/>
              <w:spacing w:before="181" w:line="239"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74371.06</w:t>
            </w:r>
          </w:p>
        </w:tc>
        <w:tc>
          <w:tcPr>
            <w:tcW w:w="1597" w:type="dxa"/>
            <w:vAlign w:val="center"/>
          </w:tcPr>
          <w:p w14:paraId="7CB95EA8">
            <w:pPr>
              <w:pStyle w:val="147"/>
              <w:spacing w:before="181" w:line="239" w:lineRule="auto"/>
              <w:ind w:left="732"/>
              <w:jc w:val="both"/>
              <w:rPr>
                <w:rFonts w:hint="default" w:ascii="微软雅黑" w:hAnsi="微软雅黑" w:eastAsia="微软雅黑" w:cs="Times New Roman"/>
                <w:kern w:val="2"/>
                <w:sz w:val="21"/>
                <w:szCs w:val="21"/>
                <w:lang w:val="en-US" w:eastAsia="zh-CN" w:bidi="ar-SA"/>
              </w:rPr>
            </w:pPr>
          </w:p>
        </w:tc>
        <w:tc>
          <w:tcPr>
            <w:tcW w:w="2533" w:type="dxa"/>
            <w:vMerge w:val="continue"/>
            <w:vAlign w:val="center"/>
          </w:tcPr>
          <w:p w14:paraId="59D1652A">
            <w:pPr>
              <w:pStyle w:val="147"/>
              <w:spacing w:before="182" w:line="219" w:lineRule="auto"/>
              <w:ind w:left="549"/>
              <w:jc w:val="center"/>
              <w:rPr>
                <w:rFonts w:hint="eastAsia" w:ascii="微软雅黑" w:hAnsi="微软雅黑" w:eastAsia="微软雅黑" w:cs="Times New Roman"/>
                <w:kern w:val="2"/>
                <w:sz w:val="21"/>
                <w:szCs w:val="21"/>
                <w:lang w:val="en-US" w:eastAsia="zh-CN" w:bidi="ar-SA"/>
              </w:rPr>
            </w:pPr>
          </w:p>
        </w:tc>
      </w:tr>
      <w:tr w14:paraId="75C7E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5623" w:type="dxa"/>
            <w:gridSpan w:val="3"/>
            <w:vAlign w:val="center"/>
          </w:tcPr>
          <w:p w14:paraId="404C4AD0">
            <w:pPr>
              <w:pStyle w:val="147"/>
              <w:spacing w:before="181" w:line="239"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合计：</w:t>
            </w:r>
          </w:p>
        </w:tc>
        <w:tc>
          <w:tcPr>
            <w:tcW w:w="1597" w:type="dxa"/>
            <w:vAlign w:val="center"/>
          </w:tcPr>
          <w:p w14:paraId="2E975FBD">
            <w:pPr>
              <w:pStyle w:val="147"/>
              <w:spacing w:before="181" w:line="239" w:lineRule="auto"/>
              <w:ind w:left="732"/>
              <w:jc w:val="both"/>
              <w:rPr>
                <w:rFonts w:hint="default" w:ascii="微软雅黑" w:hAnsi="微软雅黑" w:eastAsia="微软雅黑" w:cs="Times New Roman"/>
                <w:kern w:val="2"/>
                <w:sz w:val="21"/>
                <w:szCs w:val="21"/>
                <w:lang w:val="en-US" w:eastAsia="zh-CN" w:bidi="ar-SA"/>
              </w:rPr>
            </w:pPr>
          </w:p>
        </w:tc>
        <w:tc>
          <w:tcPr>
            <w:tcW w:w="2533" w:type="dxa"/>
            <w:vMerge w:val="continue"/>
            <w:vAlign w:val="center"/>
          </w:tcPr>
          <w:p w14:paraId="29DEFCAF">
            <w:pPr>
              <w:pStyle w:val="147"/>
              <w:spacing w:before="182" w:line="219" w:lineRule="auto"/>
              <w:ind w:left="549"/>
              <w:jc w:val="center"/>
              <w:rPr>
                <w:rFonts w:hint="eastAsia" w:ascii="微软雅黑" w:hAnsi="微软雅黑" w:eastAsia="微软雅黑" w:cs="Times New Roman"/>
                <w:kern w:val="2"/>
                <w:sz w:val="21"/>
                <w:szCs w:val="21"/>
                <w:lang w:val="en-US" w:eastAsia="zh-CN" w:bidi="ar-SA"/>
              </w:rPr>
            </w:pPr>
          </w:p>
        </w:tc>
      </w:tr>
    </w:tbl>
    <w:p w14:paraId="2AC801B2">
      <w:pPr>
        <w:adjustRightInd w:val="0"/>
        <w:snapToGrid w:val="0"/>
        <w:spacing w:line="360" w:lineRule="auto"/>
        <w:rPr>
          <w:rFonts w:hint="eastAsia" w:ascii="微软雅黑" w:hAnsi="微软雅黑" w:eastAsia="微软雅黑"/>
          <w:szCs w:val="21"/>
        </w:rPr>
      </w:pPr>
    </w:p>
    <w:p w14:paraId="29E26003">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比选供应商：</w:t>
      </w:r>
      <w:r>
        <w:rPr>
          <w:rFonts w:hint="eastAsia" w:ascii="微软雅黑" w:hAnsi="微软雅黑" w:eastAsia="微软雅黑"/>
          <w:szCs w:val="21"/>
          <w:u w:val="single"/>
        </w:rPr>
        <w:t xml:space="preserve">     （公章）        </w:t>
      </w:r>
    </w:p>
    <w:p w14:paraId="3CD48F0A">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法定代表人或其授权代理人：</w:t>
      </w:r>
      <w:r>
        <w:rPr>
          <w:rFonts w:hint="eastAsia" w:ascii="微软雅黑" w:hAnsi="微软雅黑" w:eastAsia="微软雅黑"/>
          <w:szCs w:val="21"/>
          <w:u w:val="single"/>
        </w:rPr>
        <w:t xml:space="preserve">  （签字或盖章）       </w:t>
      </w:r>
    </w:p>
    <w:p w14:paraId="2A424ECB">
      <w:pPr>
        <w:adjustRightInd w:val="0"/>
        <w:snapToGrid w:val="0"/>
        <w:spacing w:line="360" w:lineRule="auto"/>
        <w:rPr>
          <w:rFonts w:hint="eastAsia" w:ascii="微软雅黑" w:hAnsi="微软雅黑" w:eastAsia="微软雅黑"/>
          <w:szCs w:val="21"/>
        </w:rPr>
      </w:pPr>
      <w:r>
        <w:rPr>
          <w:rFonts w:hint="eastAsia" w:ascii="微软雅黑" w:hAnsi="微软雅黑" w:eastAsia="微软雅黑"/>
          <w:szCs w:val="21"/>
        </w:rPr>
        <w:t xml:space="preserve">日期：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年</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月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日</w:t>
      </w:r>
    </w:p>
    <w:p w14:paraId="609F1CC8">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注：</w:t>
      </w:r>
    </w:p>
    <w:p w14:paraId="0BE247D6">
      <w:pPr>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1．请供应</w:t>
      </w:r>
      <w:r>
        <w:rPr>
          <w:rFonts w:ascii="微软雅黑" w:hAnsi="微软雅黑" w:eastAsia="微软雅黑"/>
          <w:szCs w:val="21"/>
        </w:rPr>
        <w:t>商</w:t>
      </w:r>
      <w:r>
        <w:rPr>
          <w:rFonts w:hint="eastAsia" w:ascii="微软雅黑" w:hAnsi="微软雅黑" w:eastAsia="微软雅黑"/>
          <w:szCs w:val="21"/>
        </w:rPr>
        <w:t>完整填写本表；</w:t>
      </w:r>
    </w:p>
    <w:p w14:paraId="2CE49899">
      <w:pPr>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2．该表可扩展。</w:t>
      </w:r>
    </w:p>
    <w:p w14:paraId="1122A429">
      <w:pPr>
        <w:rPr>
          <w:rFonts w:hint="eastAsia" w:ascii="微软雅黑" w:hAnsi="微软雅黑" w:eastAsia="微软雅黑"/>
          <w:szCs w:val="21"/>
        </w:rPr>
        <w:sectPr>
          <w:pgSz w:w="11906" w:h="16838"/>
          <w:pgMar w:top="851" w:right="1134" w:bottom="851"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65"/>
    <w:p w14:paraId="4FC2D726">
      <w:pPr>
        <w:pStyle w:val="3"/>
        <w:rPr>
          <w:rFonts w:ascii="微软雅黑" w:hAnsi="微软雅黑" w:eastAsia="微软雅黑"/>
          <w:sz w:val="32"/>
        </w:rPr>
      </w:pPr>
      <w:bookmarkStart w:id="68" w:name="_Toc15959"/>
      <w:bookmarkStart w:id="69" w:name="_Toc10213460"/>
      <w:bookmarkStart w:id="70" w:name="_Toc68963492"/>
      <w:r>
        <w:rPr>
          <w:rFonts w:hint="eastAsia" w:ascii="微软雅黑" w:hAnsi="微软雅黑" w:eastAsia="微软雅黑"/>
          <w:sz w:val="32"/>
        </w:rPr>
        <w:t>三、资质证明文件</w:t>
      </w:r>
      <w:bookmarkEnd w:id="68"/>
      <w:bookmarkEnd w:id="69"/>
    </w:p>
    <w:p w14:paraId="5C705EC6">
      <w:pPr>
        <w:tabs>
          <w:tab w:val="left" w:pos="5580"/>
        </w:tabs>
        <w:adjustRightInd w:val="0"/>
        <w:snapToGrid w:val="0"/>
        <w:spacing w:line="360" w:lineRule="auto"/>
      </w:pPr>
      <w:r>
        <w:rPr>
          <w:rFonts w:hint="eastAsia" w:ascii="微软雅黑" w:hAnsi="微软雅黑" w:eastAsia="微软雅黑"/>
          <w:szCs w:val="21"/>
        </w:rPr>
        <w:t>(1)法人营业执照（副本）</w:t>
      </w:r>
    </w:p>
    <w:p w14:paraId="2A5822E0">
      <w:pPr>
        <w:tabs>
          <w:tab w:val="left" w:pos="5580"/>
        </w:tabs>
        <w:adjustRightInd w:val="0"/>
        <w:snapToGrid w:val="0"/>
        <w:spacing w:line="360" w:lineRule="auto"/>
      </w:pPr>
      <w:r>
        <w:rPr>
          <w:rFonts w:hint="eastAsia" w:ascii="微软雅黑" w:hAnsi="微软雅黑" w:eastAsia="微软雅黑"/>
          <w:szCs w:val="21"/>
        </w:rPr>
        <w:t>(2)法定代表人授权书（格式）和法人授权代表身份证</w:t>
      </w:r>
    </w:p>
    <w:p w14:paraId="7C1A695A">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3</w:t>
      </w:r>
      <w:r>
        <w:rPr>
          <w:rFonts w:hint="eastAsia" w:ascii="微软雅黑" w:hAnsi="微软雅黑" w:eastAsia="微软雅黑"/>
          <w:szCs w:val="21"/>
        </w:rPr>
        <w:t>)近三年内在本行业内从事相关工作未受到政府部门给予不良记录和行政处罚的承诺（格式）</w:t>
      </w:r>
    </w:p>
    <w:p w14:paraId="7C1E2542">
      <w:pPr>
        <w:pStyle w:val="22"/>
        <w:tabs>
          <w:tab w:val="left" w:pos="5580"/>
        </w:tabs>
        <w:adjustRightInd w:val="0"/>
        <w:snapToGrid w:val="0"/>
        <w:spacing w:line="360" w:lineRule="auto"/>
        <w:rPr>
          <w:rFonts w:ascii="微软雅黑" w:hAnsi="微软雅黑" w:eastAsia="微软雅黑"/>
          <w:b/>
          <w:sz w:val="21"/>
          <w:szCs w:val="21"/>
        </w:rPr>
      </w:pPr>
      <w:r>
        <w:rPr>
          <w:rFonts w:hint="eastAsia" w:ascii="微软雅黑" w:hAnsi="微软雅黑" w:eastAsia="微软雅黑"/>
          <w:sz w:val="21"/>
          <w:szCs w:val="21"/>
        </w:rPr>
        <w:t>(</w:t>
      </w:r>
      <w:r>
        <w:rPr>
          <w:rFonts w:ascii="微软雅黑" w:hAnsi="微软雅黑" w:eastAsia="微软雅黑"/>
          <w:sz w:val="21"/>
          <w:szCs w:val="21"/>
        </w:rPr>
        <w:t>4</w:t>
      </w:r>
      <w:r>
        <w:rPr>
          <w:rFonts w:hint="eastAsia" w:ascii="微软雅黑" w:hAnsi="微软雅黑" w:eastAsia="微软雅黑"/>
          <w:sz w:val="21"/>
          <w:szCs w:val="21"/>
        </w:rPr>
        <w:t>)比选文件要求的其他资格证明文件（格式自定）</w:t>
      </w:r>
      <w:r>
        <w:rPr>
          <w:rFonts w:hint="eastAsia" w:ascii="微软雅黑" w:hAnsi="微软雅黑" w:eastAsia="微软雅黑"/>
          <w:b/>
          <w:sz w:val="21"/>
          <w:szCs w:val="21"/>
        </w:rPr>
        <w:t>。</w:t>
      </w:r>
    </w:p>
    <w:p w14:paraId="50B3FDCB">
      <w:pPr>
        <w:pStyle w:val="37"/>
        <w:ind w:firstLine="210"/>
      </w:pPr>
    </w:p>
    <w:p w14:paraId="568C5C6C">
      <w:pPr>
        <w:rPr>
          <w:rFonts w:ascii="微软雅黑" w:hAnsi="微软雅黑" w:eastAsia="微软雅黑"/>
          <w:szCs w:val="21"/>
        </w:rPr>
      </w:pPr>
      <w:r>
        <w:rPr>
          <w:rFonts w:ascii="微软雅黑" w:hAnsi="微软雅黑" w:eastAsia="微软雅黑"/>
          <w:szCs w:val="21"/>
        </w:rPr>
        <w:br w:type="page"/>
      </w:r>
    </w:p>
    <w:p w14:paraId="6D1903F9">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附件1：法定代表人授权书（格式）和法人授权代表身份证</w:t>
      </w:r>
    </w:p>
    <w:p w14:paraId="01073CB6">
      <w:pPr>
        <w:jc w:val="center"/>
        <w:rPr>
          <w:rFonts w:ascii="方正黑体_GBK" w:eastAsia="方正黑体_GBK"/>
          <w:b/>
          <w:sz w:val="32"/>
          <w:szCs w:val="32"/>
        </w:rPr>
      </w:pPr>
    </w:p>
    <w:p w14:paraId="2BD1638B">
      <w:pPr>
        <w:jc w:val="center"/>
        <w:rPr>
          <w:rFonts w:ascii="方正黑体_GBK" w:eastAsia="方正黑体_GBK"/>
          <w:b/>
          <w:sz w:val="32"/>
          <w:szCs w:val="32"/>
        </w:rPr>
      </w:pPr>
      <w:r>
        <w:rPr>
          <w:rFonts w:hint="eastAsia" w:ascii="方正黑体_GBK" w:eastAsia="方正黑体_GBK"/>
          <w:b/>
          <w:sz w:val="32"/>
          <w:szCs w:val="32"/>
        </w:rPr>
        <w:t>法定代表人授权委托书</w:t>
      </w:r>
    </w:p>
    <w:p w14:paraId="720DD147">
      <w:pPr>
        <w:adjustRightInd w:val="0"/>
        <w:snapToGrid w:val="0"/>
        <w:spacing w:line="360" w:lineRule="auto"/>
        <w:rPr>
          <w:rFonts w:asciiTheme="minorEastAsia" w:hAnsiTheme="minorEastAsia" w:eastAsiaTheme="minorEastAsia"/>
          <w:sz w:val="24"/>
          <w:szCs w:val="21"/>
          <w:u w:val="single"/>
        </w:rPr>
      </w:pPr>
    </w:p>
    <w:p w14:paraId="0E6195FB">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致： （采购人名称）：</w:t>
      </w:r>
    </w:p>
    <w:p w14:paraId="54795721">
      <w:pPr>
        <w:adjustRightInd w:val="0"/>
        <w:snapToGrid w:val="0"/>
        <w:spacing w:line="440" w:lineRule="exact"/>
        <w:ind w:firstLine="420" w:firstLineChars="200"/>
        <w:rPr>
          <w:rFonts w:ascii="微软雅黑" w:hAnsi="微软雅黑" w:eastAsia="微软雅黑"/>
          <w:szCs w:val="21"/>
          <w:u w:val="single"/>
        </w:rPr>
      </w:pPr>
      <w:r>
        <w:rPr>
          <w:rFonts w:hint="eastAsia" w:ascii="微软雅黑" w:hAnsi="微软雅黑" w:eastAsia="微软雅黑"/>
          <w:szCs w:val="21"/>
        </w:rPr>
        <w:t>本授权书在此声明：</w:t>
      </w:r>
      <w:r>
        <w:rPr>
          <w:rFonts w:hint="eastAsia" w:ascii="微软雅黑" w:hAnsi="微软雅黑" w:eastAsia="微软雅黑"/>
          <w:szCs w:val="21"/>
          <w:u w:val="single"/>
        </w:rPr>
        <w:t xml:space="preserve">   （比选供应商名称）   的（职务）、（姓名）</w:t>
      </w:r>
      <w:r>
        <w:rPr>
          <w:rFonts w:hint="eastAsia" w:ascii="微软雅黑" w:hAnsi="微软雅黑" w:eastAsia="微软雅黑"/>
          <w:szCs w:val="21"/>
        </w:rPr>
        <w:t>以本单位法人代表的身份，代表本单位授权</w:t>
      </w:r>
      <w:r>
        <w:rPr>
          <w:rFonts w:hint="eastAsia" w:ascii="微软雅黑" w:hAnsi="微软雅黑" w:eastAsia="微软雅黑"/>
          <w:szCs w:val="21"/>
          <w:u w:val="single"/>
        </w:rPr>
        <w:t>（职务）、（姓名）</w:t>
      </w:r>
      <w:r>
        <w:rPr>
          <w:rFonts w:hint="eastAsia" w:ascii="微软雅黑" w:hAnsi="微软雅黑" w:eastAsia="微软雅黑"/>
          <w:szCs w:val="21"/>
        </w:rPr>
        <w:t>为我单位的合法代表，该代理人在</w:t>
      </w:r>
      <w:r>
        <w:rPr>
          <w:rFonts w:hint="eastAsia" w:ascii="微软雅黑" w:hAnsi="微软雅黑" w:eastAsia="微软雅黑"/>
          <w:szCs w:val="21"/>
          <w:u w:val="single"/>
        </w:rPr>
        <w:t xml:space="preserve">                  项目</w:t>
      </w:r>
      <w:r>
        <w:rPr>
          <w:rFonts w:hint="eastAsia" w:ascii="微软雅黑" w:hAnsi="微软雅黑" w:eastAsia="微软雅黑"/>
          <w:szCs w:val="21"/>
        </w:rPr>
        <w:t>的比选活动、合同谈判、协议书签署等相关行为中，有权全权处理与之相关的一切事宜。</w:t>
      </w:r>
    </w:p>
    <w:p w14:paraId="31F960B2">
      <w:pPr>
        <w:adjustRightInd w:val="0"/>
        <w:snapToGrid w:val="0"/>
        <w:spacing w:line="440" w:lineRule="exact"/>
        <w:ind w:firstLine="420"/>
        <w:rPr>
          <w:rFonts w:ascii="微软雅黑" w:hAnsi="微软雅黑" w:eastAsia="微软雅黑"/>
          <w:szCs w:val="21"/>
        </w:rPr>
      </w:pPr>
      <w:r>
        <w:rPr>
          <w:rFonts w:hint="eastAsia" w:ascii="微软雅黑" w:hAnsi="微软雅黑" w:eastAsia="微软雅黑"/>
          <w:szCs w:val="21"/>
        </w:rPr>
        <w:t>本授权书期限自  年  月  日起至  年  月  日止。</w:t>
      </w:r>
    </w:p>
    <w:p w14:paraId="09CF5D07">
      <w:pPr>
        <w:pStyle w:val="24"/>
        <w:adjustRightInd w:val="0"/>
        <w:snapToGrid w:val="0"/>
        <w:spacing w:line="440" w:lineRule="exact"/>
        <w:ind w:leftChars="0" w:firstLine="420" w:firstLineChars="0"/>
        <w:rPr>
          <w:rFonts w:ascii="微软雅黑" w:hAnsi="微软雅黑" w:eastAsia="微软雅黑"/>
          <w:sz w:val="21"/>
          <w:szCs w:val="21"/>
        </w:rPr>
      </w:pPr>
      <w:r>
        <w:rPr>
          <w:rFonts w:hint="eastAsia" w:ascii="微软雅黑" w:hAnsi="微软雅黑" w:eastAsia="微软雅黑"/>
          <w:sz w:val="21"/>
          <w:szCs w:val="21"/>
        </w:rPr>
        <w:t>在此授权范围和期限内，被授权代理人所实施的行为具有法律效力，授权人予以认可。</w:t>
      </w:r>
    </w:p>
    <w:p w14:paraId="52DA8245">
      <w:pPr>
        <w:pStyle w:val="24"/>
        <w:adjustRightInd w:val="0"/>
        <w:snapToGrid w:val="0"/>
        <w:spacing w:line="440" w:lineRule="exact"/>
        <w:ind w:left="506" w:firstLine="485"/>
        <w:rPr>
          <w:rFonts w:ascii="微软雅黑" w:hAnsi="微软雅黑" w:eastAsia="微软雅黑"/>
          <w:sz w:val="21"/>
          <w:szCs w:val="21"/>
        </w:rPr>
      </w:pPr>
    </w:p>
    <w:p w14:paraId="462FA71C">
      <w:pPr>
        <w:adjustRightInd w:val="0"/>
        <w:snapToGrid w:val="0"/>
        <w:spacing w:line="440" w:lineRule="exact"/>
        <w:rPr>
          <w:rFonts w:ascii="微软雅黑" w:hAnsi="微软雅黑" w:eastAsia="微软雅黑"/>
          <w:szCs w:val="21"/>
        </w:rPr>
      </w:pPr>
    </w:p>
    <w:p w14:paraId="27289ACA">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比选供应商名称：</w:t>
      </w:r>
      <w:r>
        <w:rPr>
          <w:rFonts w:hint="eastAsia" w:ascii="微软雅黑" w:hAnsi="微软雅黑" w:eastAsia="微软雅黑"/>
          <w:szCs w:val="21"/>
          <w:u w:val="single"/>
        </w:rPr>
        <w:t xml:space="preserve">            （盖章）           </w:t>
      </w:r>
    </w:p>
    <w:p w14:paraId="137C7FA5">
      <w:pPr>
        <w:adjustRightInd w:val="0"/>
        <w:snapToGrid w:val="0"/>
        <w:spacing w:line="440" w:lineRule="exact"/>
        <w:ind w:left="5320" w:hanging="5320"/>
        <w:rPr>
          <w:rFonts w:ascii="微软雅黑" w:hAnsi="微软雅黑" w:eastAsia="微软雅黑"/>
          <w:szCs w:val="21"/>
          <w:u w:val="single"/>
        </w:rPr>
      </w:pPr>
      <w:r>
        <w:rPr>
          <w:rFonts w:hint="eastAsia" w:ascii="微软雅黑" w:hAnsi="微软雅黑" w:eastAsia="微软雅黑"/>
          <w:spacing w:val="20"/>
          <w:szCs w:val="21"/>
        </w:rPr>
        <w:t>授权人</w:t>
      </w:r>
      <w:r>
        <w:rPr>
          <w:rFonts w:hint="eastAsia" w:ascii="微软雅黑" w:hAnsi="微软雅黑" w:eastAsia="微软雅黑"/>
          <w:szCs w:val="21"/>
        </w:rPr>
        <w:t>：</w:t>
      </w:r>
      <w:r>
        <w:rPr>
          <w:rFonts w:hint="eastAsia" w:ascii="微软雅黑" w:hAnsi="微软雅黑" w:eastAsia="微软雅黑"/>
          <w:szCs w:val="21"/>
          <w:u w:val="single"/>
        </w:rPr>
        <w:t xml:space="preserve">            （签字或盖章）             </w:t>
      </w:r>
    </w:p>
    <w:p w14:paraId="18F95BBA">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szCs w:val="21"/>
        </w:rPr>
        <w:t>被授权代理人：</w:t>
      </w:r>
      <w:r>
        <w:rPr>
          <w:rFonts w:hint="eastAsia" w:ascii="微软雅黑" w:hAnsi="微软雅黑" w:eastAsia="微软雅黑"/>
          <w:szCs w:val="21"/>
          <w:u w:val="single"/>
        </w:rPr>
        <w:t xml:space="preserve">        （签字）        </w:t>
      </w:r>
    </w:p>
    <w:p w14:paraId="1B440DFE">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日期：年月日</w:t>
      </w:r>
    </w:p>
    <w:p w14:paraId="27BD0929">
      <w:pPr>
        <w:spacing w:line="440" w:lineRule="exact"/>
        <w:rPr>
          <w:rFonts w:ascii="微软雅黑" w:hAnsi="微软雅黑" w:eastAsia="微软雅黑"/>
          <w:szCs w:val="21"/>
        </w:rPr>
      </w:pPr>
    </w:p>
    <w:p w14:paraId="7AB8935E">
      <w:pPr>
        <w:pStyle w:val="37"/>
        <w:ind w:firstLine="210"/>
        <w:rPr>
          <w:rFonts w:ascii="微软雅黑" w:hAnsi="微软雅黑" w:eastAsia="微软雅黑"/>
          <w:szCs w:val="21"/>
        </w:rPr>
      </w:pPr>
      <w:r>
        <w:rPr>
          <w:rFonts w:hint="eastAsia" w:ascii="微软雅黑" w:hAnsi="微软雅黑" w:eastAsia="微软雅黑"/>
          <w:szCs w:val="21"/>
        </w:rPr>
        <w:t>附：法定代表人和被授权人身份证正反面复印件（加盖公章）</w:t>
      </w:r>
    </w:p>
    <w:p w14:paraId="08258E10">
      <w:pPr>
        <w:rPr>
          <w:rFonts w:ascii="微软雅黑" w:hAnsi="微软雅黑" w:eastAsia="微软雅黑"/>
          <w:szCs w:val="21"/>
        </w:rPr>
      </w:pPr>
      <w:r>
        <w:rPr>
          <w:rFonts w:hint="eastAsia" w:ascii="微软雅黑" w:hAnsi="微软雅黑" w:eastAsia="微软雅黑"/>
          <w:szCs w:val="21"/>
        </w:rPr>
        <w:br w:type="page"/>
      </w:r>
    </w:p>
    <w:p w14:paraId="779984B6">
      <w:pPr>
        <w:pStyle w:val="37"/>
        <w:ind w:firstLine="0" w:firstLineChars="0"/>
        <w:rPr>
          <w:rFonts w:ascii="微软雅黑" w:hAnsi="微软雅黑" w:eastAsia="微软雅黑"/>
          <w:szCs w:val="21"/>
        </w:rPr>
      </w:pPr>
      <w:r>
        <w:rPr>
          <w:rFonts w:hint="eastAsia" w:ascii="微软雅黑" w:hAnsi="微软雅黑" w:eastAsia="微软雅黑"/>
          <w:szCs w:val="21"/>
        </w:rPr>
        <w:t>附件2：近三年内在本行业内从事相关工作未受到政府部门给予不良记录和行政处罚的承诺（格式）</w:t>
      </w:r>
    </w:p>
    <w:p w14:paraId="0CD71B0D">
      <w:pPr>
        <w:adjustRightInd w:val="0"/>
        <w:snapToGrid w:val="0"/>
        <w:spacing w:line="360" w:lineRule="auto"/>
        <w:jc w:val="center"/>
        <w:rPr>
          <w:rFonts w:ascii="微软雅黑" w:hAnsi="微软雅黑" w:eastAsia="微软雅黑"/>
          <w:b/>
          <w:sz w:val="30"/>
          <w:szCs w:val="30"/>
        </w:rPr>
      </w:pPr>
    </w:p>
    <w:p w14:paraId="254B0E77">
      <w:pPr>
        <w:adjustRightInd w:val="0"/>
        <w:snapToGrid w:val="0"/>
        <w:spacing w:line="360" w:lineRule="auto"/>
        <w:jc w:val="center"/>
        <w:rPr>
          <w:rFonts w:ascii="方正黑体_GBK" w:hAnsi="微软雅黑" w:eastAsia="方正黑体_GBK"/>
          <w:b/>
          <w:sz w:val="32"/>
          <w:szCs w:val="32"/>
        </w:rPr>
      </w:pPr>
      <w:r>
        <w:rPr>
          <w:rFonts w:hint="eastAsia" w:ascii="方正黑体_GBK" w:hAnsi="微软雅黑" w:eastAsia="方正黑体_GBK"/>
          <w:b/>
          <w:sz w:val="32"/>
          <w:szCs w:val="32"/>
        </w:rPr>
        <w:t>承诺书</w:t>
      </w:r>
    </w:p>
    <w:p w14:paraId="4D98EEC5">
      <w:pPr>
        <w:adjustRightInd w:val="0"/>
        <w:snapToGrid w:val="0"/>
        <w:spacing w:line="360" w:lineRule="auto"/>
        <w:jc w:val="center"/>
        <w:rPr>
          <w:rFonts w:ascii="微软雅黑" w:hAnsi="微软雅黑" w:eastAsia="微软雅黑"/>
          <w:szCs w:val="21"/>
        </w:rPr>
      </w:pPr>
    </w:p>
    <w:p w14:paraId="4E8AA7EA">
      <w:pPr>
        <w:adjustRightInd w:val="0"/>
        <w:snapToGrid w:val="0"/>
        <w:spacing w:line="360" w:lineRule="auto"/>
        <w:rPr>
          <w:rFonts w:ascii="微软雅黑" w:hAnsi="微软雅黑" w:eastAsia="微软雅黑"/>
          <w:szCs w:val="21"/>
        </w:rPr>
      </w:pPr>
      <w:r>
        <w:rPr>
          <w:rFonts w:hint="eastAsia" w:ascii="微软雅黑" w:hAnsi="微软雅黑" w:eastAsia="微软雅黑"/>
          <w:szCs w:val="21"/>
        </w:rPr>
        <w:t>致：</w:t>
      </w:r>
    </w:p>
    <w:p w14:paraId="0A348554">
      <w:pPr>
        <w:tabs>
          <w:tab w:val="left" w:pos="5580"/>
        </w:tabs>
        <w:adjustRightInd w:val="0"/>
        <w:snapToGrid w:val="0"/>
        <w:spacing w:line="360" w:lineRule="auto"/>
        <w:ind w:firstLine="420" w:firstLineChars="200"/>
        <w:rPr>
          <w:rFonts w:ascii="微软雅黑" w:hAnsi="微软雅黑" w:eastAsia="微软雅黑"/>
          <w:szCs w:val="21"/>
        </w:rPr>
      </w:pPr>
    </w:p>
    <w:p w14:paraId="3964E856">
      <w:pPr>
        <w:tabs>
          <w:tab w:val="left" w:pos="5580"/>
        </w:tabs>
        <w:adjustRightInd w:val="0"/>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我单位郑重承诺在参加本项目政府采购活动前三年内，在经营活动中无重大违法记录，未受到政府部门给予不良记录和行政处罚。单位未处于被责令停业，财产被接管、冻结、破产状况。</w:t>
      </w:r>
    </w:p>
    <w:p w14:paraId="49FBC2E4">
      <w:pPr>
        <w:tabs>
          <w:tab w:val="left" w:pos="5580"/>
        </w:tabs>
        <w:adjustRightInd w:val="0"/>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特此承诺。</w:t>
      </w:r>
    </w:p>
    <w:p w14:paraId="43D9B82A">
      <w:pPr>
        <w:tabs>
          <w:tab w:val="left" w:pos="5580"/>
        </w:tabs>
        <w:adjustRightInd w:val="0"/>
        <w:snapToGrid w:val="0"/>
        <w:spacing w:line="360" w:lineRule="auto"/>
        <w:ind w:firstLine="420" w:firstLineChars="200"/>
        <w:rPr>
          <w:rFonts w:ascii="微软雅黑" w:hAnsi="微软雅黑" w:eastAsia="微软雅黑"/>
          <w:szCs w:val="21"/>
        </w:rPr>
      </w:pPr>
    </w:p>
    <w:p w14:paraId="0F22C5EC">
      <w:pPr>
        <w:tabs>
          <w:tab w:val="left" w:pos="5580"/>
        </w:tabs>
        <w:adjustRightInd w:val="0"/>
        <w:snapToGrid w:val="0"/>
        <w:spacing w:line="360" w:lineRule="auto"/>
        <w:ind w:firstLine="420" w:firstLineChars="200"/>
        <w:rPr>
          <w:rFonts w:ascii="微软雅黑" w:hAnsi="微软雅黑" w:eastAsia="微软雅黑"/>
          <w:szCs w:val="21"/>
        </w:rPr>
      </w:pPr>
    </w:p>
    <w:p w14:paraId="2966C776">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供应商：</w:t>
      </w:r>
      <w:r>
        <w:rPr>
          <w:rFonts w:hint="eastAsia" w:ascii="微软雅黑" w:hAnsi="微软雅黑" w:eastAsia="微软雅黑"/>
          <w:szCs w:val="21"/>
          <w:u w:val="single"/>
        </w:rPr>
        <w:t xml:space="preserve">     （公章）        </w:t>
      </w:r>
    </w:p>
    <w:p w14:paraId="239EF5C9">
      <w:pPr>
        <w:tabs>
          <w:tab w:val="left" w:pos="5580"/>
        </w:tabs>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法定代表人或其授权代理人：</w:t>
      </w:r>
      <w:r>
        <w:rPr>
          <w:rFonts w:hint="eastAsia" w:ascii="微软雅黑" w:hAnsi="微软雅黑" w:eastAsia="微软雅黑"/>
          <w:szCs w:val="21"/>
          <w:u w:val="single"/>
        </w:rPr>
        <w:t xml:space="preserve">       （签字或盖章）          </w:t>
      </w:r>
    </w:p>
    <w:p w14:paraId="1D21E121">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日期：_____年______月______日</w:t>
      </w:r>
    </w:p>
    <w:p w14:paraId="0D74D61B">
      <w:pPr>
        <w:tabs>
          <w:tab w:val="left" w:pos="5580"/>
        </w:tabs>
        <w:adjustRightInd w:val="0"/>
        <w:snapToGrid w:val="0"/>
        <w:spacing w:line="360" w:lineRule="auto"/>
        <w:rPr>
          <w:rFonts w:ascii="微软雅黑" w:hAnsi="微软雅黑" w:eastAsia="微软雅黑"/>
          <w:szCs w:val="21"/>
        </w:rPr>
      </w:pPr>
    </w:p>
    <w:p w14:paraId="511DD245">
      <w:pPr>
        <w:tabs>
          <w:tab w:val="left" w:pos="5580"/>
        </w:tabs>
        <w:adjustRightInd w:val="0"/>
        <w:snapToGrid w:val="0"/>
        <w:spacing w:line="360" w:lineRule="auto"/>
        <w:rPr>
          <w:rFonts w:ascii="微软雅黑" w:hAnsi="微软雅黑" w:eastAsia="微软雅黑"/>
          <w:szCs w:val="21"/>
        </w:rPr>
      </w:pPr>
    </w:p>
    <w:p w14:paraId="186A1FDD">
      <w:pPr>
        <w:pStyle w:val="22"/>
        <w:tabs>
          <w:tab w:val="left" w:pos="5580"/>
        </w:tabs>
        <w:adjustRightInd w:val="0"/>
        <w:snapToGrid w:val="0"/>
        <w:spacing w:line="360" w:lineRule="auto"/>
        <w:rPr>
          <w:rFonts w:ascii="微软雅黑" w:hAnsi="微软雅黑" w:eastAsia="微软雅黑"/>
          <w:sz w:val="21"/>
          <w:szCs w:val="21"/>
        </w:rPr>
      </w:pPr>
    </w:p>
    <w:p w14:paraId="5DF1F1C0">
      <w:pPr>
        <w:adjustRightInd w:val="0"/>
        <w:snapToGrid w:val="0"/>
        <w:spacing w:line="360" w:lineRule="auto"/>
        <w:rPr>
          <w:rFonts w:asciiTheme="minorEastAsia" w:hAnsiTheme="minorEastAsia" w:eastAsiaTheme="minorEastAsia"/>
          <w:b/>
          <w:sz w:val="24"/>
          <w:szCs w:val="21"/>
        </w:rPr>
      </w:pPr>
    </w:p>
    <w:p w14:paraId="5143F3F7">
      <w:pPr>
        <w:adjustRightInd w:val="0"/>
        <w:snapToGrid w:val="0"/>
        <w:spacing w:line="360" w:lineRule="auto"/>
        <w:rPr>
          <w:rFonts w:asciiTheme="minorEastAsia" w:hAnsiTheme="minorEastAsia" w:eastAsiaTheme="minorEastAsia"/>
          <w:b/>
          <w:bCs/>
          <w:sz w:val="24"/>
          <w:szCs w:val="21"/>
        </w:rPr>
      </w:pPr>
    </w:p>
    <w:p w14:paraId="156BD266">
      <w:r>
        <w:br w:type="page"/>
      </w:r>
    </w:p>
    <w:p w14:paraId="21936EB9">
      <w:pPr>
        <w:pStyle w:val="3"/>
        <w:rPr>
          <w:rFonts w:ascii="微软雅黑" w:hAnsi="微软雅黑" w:eastAsia="微软雅黑"/>
          <w:sz w:val="32"/>
        </w:rPr>
      </w:pPr>
      <w:bookmarkStart w:id="71" w:name="_Toc699"/>
      <w:bookmarkStart w:id="72" w:name="_Toc10213461"/>
      <w:r>
        <w:rPr>
          <w:rFonts w:hint="eastAsia" w:ascii="微软雅黑" w:hAnsi="微软雅黑" w:eastAsia="微软雅黑"/>
          <w:sz w:val="32"/>
        </w:rPr>
        <w:t>四、</w:t>
      </w:r>
      <w:r>
        <w:rPr>
          <w:rFonts w:hint="eastAsia" w:ascii="微软雅黑" w:hAnsi="微软雅黑" w:eastAsia="微软雅黑"/>
          <w:sz w:val="32"/>
          <w:lang w:val="en-US" w:eastAsia="zh-CN"/>
        </w:rPr>
        <w:t>项目维保</w:t>
      </w:r>
      <w:r>
        <w:rPr>
          <w:rFonts w:hint="eastAsia" w:ascii="微软雅黑" w:hAnsi="微软雅黑" w:eastAsia="微软雅黑"/>
          <w:sz w:val="32"/>
        </w:rPr>
        <w:t>方案</w:t>
      </w:r>
      <w:bookmarkEnd w:id="71"/>
      <w:bookmarkEnd w:id="72"/>
    </w:p>
    <w:p w14:paraId="0D06576B">
      <w:pPr>
        <w:tabs>
          <w:tab w:val="left" w:pos="540"/>
          <w:tab w:val="left" w:pos="644"/>
          <w:tab w:val="left" w:pos="1080"/>
        </w:tabs>
        <w:adjustRightInd w:val="0"/>
        <w:snapToGrid w:val="0"/>
        <w:spacing w:line="360" w:lineRule="auto"/>
        <w:jc w:val="center"/>
        <w:rPr>
          <w:rFonts w:ascii="微软雅黑" w:hAnsi="微软雅黑" w:eastAsia="微软雅黑"/>
          <w:szCs w:val="21"/>
        </w:rPr>
      </w:pPr>
      <w:r>
        <w:rPr>
          <w:rFonts w:hint="eastAsia" w:ascii="微软雅黑" w:hAnsi="微软雅黑" w:eastAsia="微软雅黑"/>
          <w:szCs w:val="21"/>
        </w:rPr>
        <w:t>（格式自定）</w:t>
      </w:r>
    </w:p>
    <w:p w14:paraId="3012CCBE">
      <w:pPr>
        <w:tabs>
          <w:tab w:val="left" w:pos="540"/>
          <w:tab w:val="left" w:pos="644"/>
          <w:tab w:val="left" w:pos="1080"/>
        </w:tabs>
        <w:adjustRightInd w:val="0"/>
        <w:snapToGrid w:val="0"/>
        <w:spacing w:line="360" w:lineRule="auto"/>
        <w:rPr>
          <w:rFonts w:ascii="微软雅黑" w:hAnsi="微软雅黑" w:eastAsia="微软雅黑"/>
          <w:b/>
          <w:bCs/>
          <w:szCs w:val="21"/>
        </w:rPr>
      </w:pPr>
    </w:p>
    <w:p w14:paraId="56893EBE">
      <w:pPr>
        <w:tabs>
          <w:tab w:val="left" w:pos="540"/>
          <w:tab w:val="left" w:pos="644"/>
          <w:tab w:val="left" w:pos="1080"/>
        </w:tabs>
        <w:adjustRightInd w:val="0"/>
        <w:snapToGrid w:val="0"/>
        <w:spacing w:line="360" w:lineRule="auto"/>
        <w:rPr>
          <w:rFonts w:ascii="微软雅黑" w:hAnsi="微软雅黑" w:eastAsia="微软雅黑"/>
          <w:b/>
          <w:bCs/>
          <w:szCs w:val="21"/>
        </w:rPr>
      </w:pPr>
      <w:r>
        <w:rPr>
          <w:rFonts w:hint="eastAsia" w:ascii="微软雅黑" w:hAnsi="微软雅黑" w:eastAsia="微软雅黑"/>
          <w:b/>
          <w:bCs/>
          <w:szCs w:val="21"/>
        </w:rPr>
        <w:t>注：供应商需根据技术要求等的情况提供符合本项目的具体</w:t>
      </w:r>
      <w:r>
        <w:rPr>
          <w:rFonts w:hint="eastAsia" w:ascii="微软雅黑" w:hAnsi="微软雅黑" w:eastAsia="微软雅黑"/>
          <w:b/>
          <w:bCs/>
          <w:szCs w:val="21"/>
          <w:lang w:val="en-US" w:eastAsia="zh-CN"/>
        </w:rPr>
        <w:t>施工</w:t>
      </w:r>
      <w:r>
        <w:rPr>
          <w:rFonts w:hint="eastAsia" w:ascii="微软雅黑" w:hAnsi="微软雅黑" w:eastAsia="微软雅黑"/>
          <w:b/>
          <w:bCs/>
          <w:szCs w:val="21"/>
        </w:rPr>
        <w:t>方案。</w:t>
      </w:r>
    </w:p>
    <w:p w14:paraId="1EBC4DAF">
      <w:pPr>
        <w:rPr>
          <w:rFonts w:ascii="微软雅黑" w:hAnsi="微软雅黑" w:eastAsia="微软雅黑"/>
          <w:b/>
          <w:bCs/>
          <w:szCs w:val="21"/>
        </w:rPr>
      </w:pPr>
      <w:r>
        <w:rPr>
          <w:rFonts w:ascii="微软雅黑" w:hAnsi="微软雅黑" w:eastAsia="微软雅黑"/>
          <w:b/>
          <w:bCs/>
          <w:szCs w:val="21"/>
        </w:rPr>
        <w:br w:type="page"/>
      </w:r>
    </w:p>
    <w:bookmarkEnd w:id="70"/>
    <w:p w14:paraId="62108B94">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73" w:name="_Toc330205892"/>
      <w:bookmarkStart w:id="74" w:name="_Toc15858"/>
      <w:r>
        <w:rPr>
          <w:rFonts w:hint="eastAsia" w:ascii="微软雅黑" w:hAnsi="微软雅黑" w:eastAsia="微软雅黑"/>
          <w:bCs w:val="0"/>
          <w:kern w:val="2"/>
          <w:szCs w:val="36"/>
        </w:rPr>
        <w:t>第六章、评审办法</w:t>
      </w:r>
      <w:bookmarkEnd w:id="73"/>
      <w:bookmarkEnd w:id="74"/>
    </w:p>
    <w:p w14:paraId="7127E04E">
      <w:pPr>
        <w:adjustRightInd w:val="0"/>
        <w:snapToGrid w:val="0"/>
        <w:spacing w:line="440" w:lineRule="exact"/>
        <w:rPr>
          <w:rFonts w:ascii="微软雅黑" w:hAnsi="微软雅黑" w:eastAsia="微软雅黑"/>
          <w:b/>
          <w:szCs w:val="21"/>
        </w:rPr>
      </w:pPr>
      <w:r>
        <w:rPr>
          <w:rFonts w:hint="eastAsia" w:ascii="微软雅黑" w:hAnsi="微软雅黑" w:eastAsia="微软雅黑"/>
          <w:b/>
          <w:szCs w:val="21"/>
        </w:rPr>
        <w:t>一、评审原则与标准</w:t>
      </w:r>
    </w:p>
    <w:p w14:paraId="10052120">
      <w:pPr>
        <w:adjustRightInd w:val="0"/>
        <w:snapToGrid w:val="0"/>
        <w:spacing w:line="440" w:lineRule="exact"/>
        <w:ind w:firstLine="480"/>
        <w:rPr>
          <w:rFonts w:ascii="微软雅黑" w:hAnsi="微软雅黑" w:eastAsia="微软雅黑"/>
          <w:szCs w:val="21"/>
        </w:rPr>
      </w:pPr>
      <w:r>
        <w:rPr>
          <w:rFonts w:hint="eastAsia" w:ascii="微软雅黑" w:hAnsi="微软雅黑" w:eastAsia="微软雅黑"/>
          <w:szCs w:val="21"/>
        </w:rPr>
        <w:t>评审原则是指评审</w:t>
      </w:r>
      <w:r>
        <w:rPr>
          <w:rFonts w:hint="eastAsia" w:ascii="微软雅黑" w:hAnsi="微软雅黑" w:eastAsia="微软雅黑"/>
          <w:szCs w:val="21"/>
          <w:lang w:val="en-US" w:eastAsia="zh-CN"/>
        </w:rPr>
        <w:t>小组</w:t>
      </w:r>
      <w:r>
        <w:rPr>
          <w:rFonts w:hint="eastAsia" w:ascii="微软雅黑" w:hAnsi="微软雅黑" w:eastAsia="微软雅黑"/>
          <w:szCs w:val="21"/>
        </w:rPr>
        <w:t>成员在评审活动中应遵循的原则，即“公平、公正、科学、择优”的原则和评审保密原则。</w:t>
      </w:r>
    </w:p>
    <w:p w14:paraId="2364DC75">
      <w:pPr>
        <w:adjustRightInd w:val="0"/>
        <w:snapToGrid w:val="0"/>
        <w:spacing w:line="440" w:lineRule="exact"/>
        <w:rPr>
          <w:rFonts w:ascii="微软雅黑" w:hAnsi="微软雅黑" w:eastAsia="微软雅黑"/>
          <w:b/>
          <w:szCs w:val="21"/>
        </w:rPr>
      </w:pPr>
      <w:r>
        <w:rPr>
          <w:rFonts w:hint="eastAsia" w:ascii="微软雅黑" w:hAnsi="微软雅黑" w:eastAsia="微软雅黑"/>
          <w:b/>
          <w:szCs w:val="21"/>
        </w:rPr>
        <w:t>二、评审方法</w:t>
      </w:r>
    </w:p>
    <w:p w14:paraId="43582890">
      <w:pPr>
        <w:adjustRightInd w:val="0"/>
        <w:snapToGrid w:val="0"/>
        <w:spacing w:line="440" w:lineRule="exact"/>
        <w:ind w:firstLine="480"/>
        <w:rPr>
          <w:rFonts w:hint="eastAsia" w:ascii="微软雅黑" w:hAnsi="微软雅黑" w:eastAsia="微软雅黑"/>
          <w:szCs w:val="21"/>
          <w:lang w:eastAsia="zh-CN"/>
        </w:rPr>
      </w:pPr>
      <w:r>
        <w:rPr>
          <w:rFonts w:hint="eastAsia" w:ascii="微软雅黑" w:hAnsi="微软雅黑" w:eastAsia="微软雅黑"/>
          <w:szCs w:val="21"/>
        </w:rPr>
        <w:t>本次评审采用最低评标价法</w:t>
      </w:r>
      <w:bookmarkStart w:id="75" w:name="_GoBack"/>
      <w:bookmarkEnd w:id="75"/>
      <w:r>
        <w:rPr>
          <w:rFonts w:hint="eastAsia" w:ascii="微软雅黑" w:hAnsi="微软雅黑" w:eastAsia="微软雅黑"/>
          <w:szCs w:val="21"/>
          <w:lang w:eastAsia="zh-CN"/>
        </w:rPr>
        <w:t>。</w:t>
      </w:r>
    </w:p>
    <w:p w14:paraId="53ECC21A">
      <w:pPr>
        <w:numPr>
          <w:ilvl w:val="0"/>
          <w:numId w:val="1"/>
        </w:numPr>
        <w:adjustRightInd w:val="0"/>
        <w:snapToGrid w:val="0"/>
        <w:spacing w:line="440" w:lineRule="exact"/>
        <w:rPr>
          <w:rFonts w:ascii="微软雅黑" w:hAnsi="微软雅黑" w:eastAsia="微软雅黑"/>
          <w:szCs w:val="21"/>
        </w:rPr>
      </w:pPr>
      <w:r>
        <w:rPr>
          <w:rFonts w:hint="eastAsia" w:ascii="微软雅黑" w:hAnsi="微软雅黑" w:eastAsia="微软雅黑"/>
          <w:b/>
          <w:szCs w:val="21"/>
        </w:rPr>
        <w:t>评分标准</w:t>
      </w:r>
    </w:p>
    <w:p w14:paraId="5BA625D0">
      <w:pPr>
        <w:tabs>
          <w:tab w:val="left" w:pos="3558"/>
        </w:tabs>
        <w:ind w:firstLine="420" w:firstLineChars="200"/>
        <w:rPr>
          <w:rFonts w:hint="eastAsia" w:ascii="微软雅黑" w:hAnsi="微软雅黑" w:eastAsia="微软雅黑" w:cs="TimesNewRomanPSMT"/>
          <w:kern w:val="0"/>
          <w:szCs w:val="21"/>
        </w:rPr>
      </w:pPr>
      <w:r>
        <w:rPr>
          <w:rFonts w:hint="eastAsia" w:ascii="微软雅黑" w:hAnsi="微软雅黑" w:eastAsia="微软雅黑" w:cs="TimesNewRomanPSMT"/>
          <w:kern w:val="0"/>
          <w:szCs w:val="21"/>
        </w:rPr>
        <w:t>评审小组采用最低评标价法对供应商的响应文件进行评审。对</w:t>
      </w:r>
      <w:r>
        <w:rPr>
          <w:rFonts w:hint="eastAsia" w:ascii="微软雅黑" w:hAnsi="微软雅黑" w:eastAsia="微软雅黑" w:cs="TimesNewRomanPSMT"/>
          <w:kern w:val="0"/>
          <w:szCs w:val="21"/>
          <w:lang w:val="en-US" w:eastAsia="zh-CN"/>
        </w:rPr>
        <w:t>比选</w:t>
      </w:r>
      <w:r>
        <w:rPr>
          <w:rFonts w:hint="eastAsia" w:ascii="微软雅黑" w:hAnsi="微软雅黑" w:eastAsia="微软雅黑" w:cs="TimesNewRomanPSMT"/>
          <w:kern w:val="0"/>
          <w:szCs w:val="21"/>
        </w:rPr>
        <w:t>文件项目要求均能满足要求的供应商，选择报价最低的成为成交供应商。</w:t>
      </w:r>
    </w:p>
    <w:p w14:paraId="057D47BD">
      <w:pPr>
        <w:tabs>
          <w:tab w:val="left" w:pos="3558"/>
        </w:tabs>
        <w:ind w:firstLine="420" w:firstLineChars="200"/>
        <w:rPr>
          <w:rFonts w:hint="eastAsia" w:ascii="微软雅黑" w:hAnsi="微软雅黑" w:eastAsia="微软雅黑" w:cs="TimesNewRomanPSMT"/>
          <w:kern w:val="0"/>
          <w:szCs w:val="21"/>
        </w:rPr>
      </w:pPr>
      <w:r>
        <w:rPr>
          <w:rFonts w:hint="eastAsia" w:ascii="微软雅黑" w:hAnsi="微软雅黑" w:eastAsia="微软雅黑" w:cs="TimesNewRomanPSMT"/>
          <w:kern w:val="0"/>
          <w:szCs w:val="21"/>
        </w:rPr>
        <w:t>若报价最低的供应商数量大于或等于2家的，由采购人根据其他条件择优选择其中一家。</w:t>
      </w:r>
    </w:p>
    <w:p w14:paraId="21939313">
      <w:pPr>
        <w:jc w:val="center"/>
      </w:pPr>
      <w:r>
        <w:rPr>
          <w:rFonts w:hint="eastAsia" w:ascii="黑体" w:hAnsi="黑体" w:eastAsia="黑体"/>
          <w:szCs w:val="21"/>
        </w:rPr>
        <w:t>（结束）</w:t>
      </w:r>
    </w:p>
    <w:p w14:paraId="41BAFDE6">
      <w:pPr>
        <w:rPr>
          <w:rFonts w:ascii="黑体" w:hAnsi="黑体" w:eastAsia="黑体" w:cs="黑体"/>
          <w:bCs/>
          <w:szCs w:val="21"/>
        </w:rPr>
      </w:pPr>
    </w:p>
    <w:sectPr>
      <w:pgSz w:w="11906" w:h="16838"/>
      <w:pgMar w:top="851" w:right="1134" w:bottom="851"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简楷体">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Helvetica-Blac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rutiger 55 Roman">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NewRomanPSMT">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89A7">
    <w:pPr>
      <w:pStyle w:val="26"/>
      <w:ind w:right="360"/>
      <w:rPr>
        <w:rFonts w:ascii="仿宋_GB2312" w:hAnsi="宋体" w:eastAsia="仿宋_GB2312"/>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00980">
                          <w:pPr>
                            <w:pStyle w:val="2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700980">
                    <w:pPr>
                      <w:pStyle w:val="2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仿宋_GB2312" w:hAnsi="宋体" w:eastAsia="仿宋_GB2312"/>
      </w:rPr>
      <w:t xml:space="preserve">中招国际招标有限公司重庆分公司 </w:t>
    </w:r>
    <w:r>
      <w:rPr>
        <w:rFonts w:hint="eastAsia" w:ascii="仿宋_GB2312" w:hAnsi="宋体" w:eastAsia="仿宋_GB2312"/>
        <w:bCs/>
      </w:rPr>
      <w:t>地址</w:t>
    </w:r>
    <w:r>
      <w:rPr>
        <w:rFonts w:hint="eastAsia" w:ascii="仿宋_GB2312" w:hAnsi="宋体" w:eastAsia="仿宋_GB2312"/>
        <w:bCs/>
        <w:sz w:val="21"/>
      </w:rPr>
      <w:t>：</w:t>
    </w:r>
    <w:r>
      <w:rPr>
        <w:rFonts w:hint="eastAsia" w:ascii="仿宋_GB2312" w:hAnsi="宋体" w:eastAsia="仿宋_GB2312"/>
      </w:rPr>
      <w:t>重庆渝北区黄山大道中段53号5-1（双鱼座A栋5楼）</w:t>
    </w:r>
  </w:p>
  <w:p w14:paraId="544A4B2E">
    <w:pPr>
      <w:pStyle w:val="26"/>
      <w:ind w:right="360"/>
      <w:rPr>
        <w:rFonts w:ascii="仿宋_GB2312" w:hAnsi="宋体" w:eastAsia="仿宋_GB2312"/>
      </w:rPr>
    </w:pPr>
    <w:r>
      <w:rPr>
        <w:rFonts w:hint="eastAsia" w:ascii="仿宋_GB2312" w:hAnsi="宋体" w:eastAsia="仿宋_GB2312"/>
      </w:rPr>
      <w:t>电话：023-68881331   传真：023-68696636</w:t>
    </w:r>
  </w:p>
  <w:p w14:paraId="76A0F2F6">
    <w:pPr>
      <w:pStyle w:val="26"/>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B9C1">
    <w:pPr>
      <w:pStyle w:val="26"/>
      <w:framePr w:wrap="around" w:vAnchor="text" w:hAnchor="margin" w:xAlign="center" w:y="1"/>
      <w:rPr>
        <w:rStyle w:val="43"/>
      </w:rPr>
    </w:pPr>
    <w:r>
      <w:fldChar w:fldCharType="begin"/>
    </w:r>
    <w:r>
      <w:rPr>
        <w:rStyle w:val="43"/>
      </w:rPr>
      <w:instrText xml:space="preserve">PAGE  </w:instrText>
    </w:r>
    <w:r>
      <w:fldChar w:fldCharType="end"/>
    </w:r>
  </w:p>
  <w:p w14:paraId="6136F563">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59C4">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1158">
    <w:pPr>
      <w:pStyle w:val="26"/>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6EFB91">
                          <w:pPr>
                            <w:pStyle w:val="2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14:paraId="386EFB91">
                    <w:pPr>
                      <w:pStyle w:val="2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549C">
    <w:pPr>
      <w:rPr>
        <w:rFonts w:eastAsia="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29945" cy="20447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9945" cy="204470"/>
                      </a:xfrm>
                      <a:prstGeom prst="rect">
                        <a:avLst/>
                      </a:prstGeom>
                      <a:noFill/>
                      <a:ln>
                        <a:noFill/>
                      </a:ln>
                    </wps:spPr>
                    <wps:txbx>
                      <w:txbxContent>
                        <w:p w14:paraId="2AD58F6C">
                          <w:pPr>
                            <w:pStyle w:val="2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6.1pt;width:65.35pt;mso-position-horizontal:outside;mso-position-horizontal-relative:margin;mso-wrap-style:none;z-index:251660288;mso-width-relative:page;mso-height-relative:page;" filled="f" stroked="f" coordsize="21600,21600" o:gfxdata="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0vHdLRAAAABAEAAA8AAAAAAAAAAQAgAAAAIgAAAGRycy9kb3ducmV2LnhtbFBLAQIU&#10;ABQAAAAIAIdO4kCwGF+b+gEAAAEEAAAOAAAAAAAAAAEAIAAAACABAABkcnMvZTJvRG9jLnhtbFBL&#10;BQYAAAAABgAGAFkBAACMBQAAAAA=&#10;">
              <v:fill on="f" focussize="0,0"/>
              <v:stroke on="f"/>
              <v:imagedata o:title=""/>
              <o:lock v:ext="edit" aspectratio="f"/>
              <v:textbox inset="0mm,0mm,0mm,0mm" style="mso-fit-shape-to-text:t;">
                <w:txbxContent>
                  <w:p w14:paraId="2AD58F6C">
                    <w:pPr>
                      <w:pStyle w:val="2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0CDD">
    <w:pPr>
      <w:pStyle w:val="27"/>
      <w:pBdr>
        <w:bottom w:val="single" w:color="auto" w:sz="4" w:space="1"/>
      </w:pBdr>
      <w:ind w:left="5220" w:hanging="5220" w:hangingChars="2900"/>
      <w:jc w:val="left"/>
      <w:rPr>
        <w:rFonts w:ascii="黑体" w:eastAsia="黑体"/>
      </w:rPr>
    </w:pPr>
    <w:r>
      <w:rPr>
        <w:rFonts w:hint="eastAsia" w:ascii="黑体" w:eastAsia="黑体"/>
      </w:rPr>
      <w:t xml:space="preserve">北京理工大学重庆创新中心空间文化提升项目    </w:t>
    </w:r>
    <w:r>
      <w:rPr>
        <w:rFonts w:ascii="方正仿宋_GBK" w:eastAsia="方正仿宋_GBK"/>
        <w:sz w:val="21"/>
        <w:szCs w:val="24"/>
      </w:rPr>
      <w:object>
        <v:shape id="_x0000_i1025" o:spt="75" type="#_x0000_t75" style="height:21.75pt;width:21pt;" o:ole="t" filled="f" o:preferrelative="t" stroked="f" coordsize="21600,21600">
          <v:path/>
          <v:fill on="f" focussize="0,0"/>
          <v:stroke on="f" joinstyle="miter"/>
          <v:imagedata r:id="rId2" embosscolor="#FFFFFF" o:title=""/>
          <o:lock v:ext="edit" aspectratio="t"/>
          <w10:wrap type="none"/>
          <w10:anchorlock/>
        </v:shape>
        <o:OLEObject Type="Embed" ProgID="PBrush" ShapeID="_x0000_i1025" DrawAspect="Content" ObjectID="_1468075725" r:id="rId1">
          <o:LockedField>false</o:LockedField>
        </o:OLEObject>
      </w:object>
    </w:r>
    <w:r>
      <w:rPr>
        <w:rFonts w:hint="eastAsia" w:ascii="黑体" w:eastAsia="黑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CF6D4">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E81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015AA">
    <w:pPr>
      <w:pStyle w:val="27"/>
      <w:jc w:val="right"/>
    </w:pPr>
    <w:r>
      <w:rPr>
        <w:rFonts w:hint="eastAsia"/>
        <w:u w:val="single"/>
        <w:lang w:val="en-US" w:eastAsia="zh-CN"/>
      </w:rPr>
      <w:t>合同备案号：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4D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7C441"/>
    <w:multiLevelType w:val="singleLevel"/>
    <w:tmpl w:val="5987C44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MjNiYTM1NjZhYzEyNWEwMTE3NjQxNWM3YWQzZGQifQ=="/>
  </w:docVars>
  <w:rsids>
    <w:rsidRoot w:val="00050E81"/>
    <w:rsid w:val="00004192"/>
    <w:rsid w:val="00005D3B"/>
    <w:rsid w:val="00007EC4"/>
    <w:rsid w:val="000125A6"/>
    <w:rsid w:val="00016457"/>
    <w:rsid w:val="00017691"/>
    <w:rsid w:val="00024EE4"/>
    <w:rsid w:val="000309D6"/>
    <w:rsid w:val="0003529B"/>
    <w:rsid w:val="00050E81"/>
    <w:rsid w:val="0006389B"/>
    <w:rsid w:val="0007298D"/>
    <w:rsid w:val="000826D2"/>
    <w:rsid w:val="0008483E"/>
    <w:rsid w:val="00085BF6"/>
    <w:rsid w:val="0008753F"/>
    <w:rsid w:val="00091E41"/>
    <w:rsid w:val="000939B9"/>
    <w:rsid w:val="00096C3C"/>
    <w:rsid w:val="00097AAD"/>
    <w:rsid w:val="00097D2E"/>
    <w:rsid w:val="000A62FF"/>
    <w:rsid w:val="000B649D"/>
    <w:rsid w:val="000B6CC8"/>
    <w:rsid w:val="000C3EA5"/>
    <w:rsid w:val="000D2FBB"/>
    <w:rsid w:val="000D386C"/>
    <w:rsid w:val="000D409D"/>
    <w:rsid w:val="000E6FD9"/>
    <w:rsid w:val="000E7285"/>
    <w:rsid w:val="000F40BC"/>
    <w:rsid w:val="00101C20"/>
    <w:rsid w:val="001150F7"/>
    <w:rsid w:val="001217DD"/>
    <w:rsid w:val="00142098"/>
    <w:rsid w:val="00145D4B"/>
    <w:rsid w:val="00145F9B"/>
    <w:rsid w:val="00146DC9"/>
    <w:rsid w:val="00151294"/>
    <w:rsid w:val="0015222E"/>
    <w:rsid w:val="00157EAD"/>
    <w:rsid w:val="0016119F"/>
    <w:rsid w:val="00164072"/>
    <w:rsid w:val="001647E4"/>
    <w:rsid w:val="00164EF8"/>
    <w:rsid w:val="0016500E"/>
    <w:rsid w:val="0017023C"/>
    <w:rsid w:val="001733F1"/>
    <w:rsid w:val="001855BE"/>
    <w:rsid w:val="00187015"/>
    <w:rsid w:val="00191BF0"/>
    <w:rsid w:val="0019276D"/>
    <w:rsid w:val="001930F3"/>
    <w:rsid w:val="001A6C27"/>
    <w:rsid w:val="001A7517"/>
    <w:rsid w:val="001B0255"/>
    <w:rsid w:val="001B1BBD"/>
    <w:rsid w:val="001B6272"/>
    <w:rsid w:val="001C12A3"/>
    <w:rsid w:val="001C14CC"/>
    <w:rsid w:val="001C34CB"/>
    <w:rsid w:val="001C4849"/>
    <w:rsid w:val="001D43E4"/>
    <w:rsid w:val="001D45B0"/>
    <w:rsid w:val="001D63F7"/>
    <w:rsid w:val="001E0A7E"/>
    <w:rsid w:val="001E53A2"/>
    <w:rsid w:val="001E5852"/>
    <w:rsid w:val="001E6970"/>
    <w:rsid w:val="001F2012"/>
    <w:rsid w:val="00201EAC"/>
    <w:rsid w:val="00206860"/>
    <w:rsid w:val="00211994"/>
    <w:rsid w:val="00215BDB"/>
    <w:rsid w:val="002200BF"/>
    <w:rsid w:val="0022036C"/>
    <w:rsid w:val="00220840"/>
    <w:rsid w:val="002303C2"/>
    <w:rsid w:val="00236782"/>
    <w:rsid w:val="00242277"/>
    <w:rsid w:val="00245626"/>
    <w:rsid w:val="00245BB1"/>
    <w:rsid w:val="0025000A"/>
    <w:rsid w:val="002532AF"/>
    <w:rsid w:val="00255535"/>
    <w:rsid w:val="00255560"/>
    <w:rsid w:val="002625F8"/>
    <w:rsid w:val="002728DE"/>
    <w:rsid w:val="00275538"/>
    <w:rsid w:val="0028413B"/>
    <w:rsid w:val="00286C80"/>
    <w:rsid w:val="002873B4"/>
    <w:rsid w:val="00292150"/>
    <w:rsid w:val="00295D55"/>
    <w:rsid w:val="002A15F7"/>
    <w:rsid w:val="002A2880"/>
    <w:rsid w:val="002A2C87"/>
    <w:rsid w:val="002A65C0"/>
    <w:rsid w:val="002A7D72"/>
    <w:rsid w:val="002B0B6D"/>
    <w:rsid w:val="002B23DF"/>
    <w:rsid w:val="002C365E"/>
    <w:rsid w:val="002D296A"/>
    <w:rsid w:val="002D7A61"/>
    <w:rsid w:val="002E1511"/>
    <w:rsid w:val="002E4121"/>
    <w:rsid w:val="002E4AA4"/>
    <w:rsid w:val="002F031F"/>
    <w:rsid w:val="002F3893"/>
    <w:rsid w:val="002F4959"/>
    <w:rsid w:val="002F7A17"/>
    <w:rsid w:val="003225A7"/>
    <w:rsid w:val="00323F2D"/>
    <w:rsid w:val="00335911"/>
    <w:rsid w:val="003402E3"/>
    <w:rsid w:val="0034032E"/>
    <w:rsid w:val="00342AB8"/>
    <w:rsid w:val="0034368A"/>
    <w:rsid w:val="00344AA0"/>
    <w:rsid w:val="00347FE7"/>
    <w:rsid w:val="0035452A"/>
    <w:rsid w:val="00354B05"/>
    <w:rsid w:val="0035616C"/>
    <w:rsid w:val="003565E5"/>
    <w:rsid w:val="00361857"/>
    <w:rsid w:val="00370A78"/>
    <w:rsid w:val="00371E5B"/>
    <w:rsid w:val="003815A1"/>
    <w:rsid w:val="00381CB8"/>
    <w:rsid w:val="00385B99"/>
    <w:rsid w:val="0039066A"/>
    <w:rsid w:val="00392592"/>
    <w:rsid w:val="00395008"/>
    <w:rsid w:val="003A0E99"/>
    <w:rsid w:val="003A18BA"/>
    <w:rsid w:val="003A2AF9"/>
    <w:rsid w:val="003A3899"/>
    <w:rsid w:val="003A779E"/>
    <w:rsid w:val="003B08FA"/>
    <w:rsid w:val="003B552A"/>
    <w:rsid w:val="003C6AB7"/>
    <w:rsid w:val="003C7B90"/>
    <w:rsid w:val="003D0693"/>
    <w:rsid w:val="003D07D1"/>
    <w:rsid w:val="003D575E"/>
    <w:rsid w:val="003E04CB"/>
    <w:rsid w:val="003E0B22"/>
    <w:rsid w:val="003E15CC"/>
    <w:rsid w:val="003E2F8F"/>
    <w:rsid w:val="003F34B3"/>
    <w:rsid w:val="003F37D3"/>
    <w:rsid w:val="0040117C"/>
    <w:rsid w:val="00410613"/>
    <w:rsid w:val="00422B47"/>
    <w:rsid w:val="004274B3"/>
    <w:rsid w:val="00432600"/>
    <w:rsid w:val="004334B6"/>
    <w:rsid w:val="004339C6"/>
    <w:rsid w:val="0044070D"/>
    <w:rsid w:val="00442902"/>
    <w:rsid w:val="00444C8C"/>
    <w:rsid w:val="00446B73"/>
    <w:rsid w:val="00447194"/>
    <w:rsid w:val="00450154"/>
    <w:rsid w:val="00452BBF"/>
    <w:rsid w:val="00452E50"/>
    <w:rsid w:val="004570BF"/>
    <w:rsid w:val="004602D7"/>
    <w:rsid w:val="00460633"/>
    <w:rsid w:val="0046237D"/>
    <w:rsid w:val="004632DA"/>
    <w:rsid w:val="00465C0E"/>
    <w:rsid w:val="00466AB4"/>
    <w:rsid w:val="00475897"/>
    <w:rsid w:val="004875CD"/>
    <w:rsid w:val="004A2A85"/>
    <w:rsid w:val="004B6F32"/>
    <w:rsid w:val="004C649C"/>
    <w:rsid w:val="004D6FED"/>
    <w:rsid w:val="004E1662"/>
    <w:rsid w:val="004E5AC1"/>
    <w:rsid w:val="004E6638"/>
    <w:rsid w:val="004E7126"/>
    <w:rsid w:val="004F0101"/>
    <w:rsid w:val="004F2CCE"/>
    <w:rsid w:val="004F4CBA"/>
    <w:rsid w:val="004F75FC"/>
    <w:rsid w:val="00512448"/>
    <w:rsid w:val="00515F22"/>
    <w:rsid w:val="00522B5D"/>
    <w:rsid w:val="00525F23"/>
    <w:rsid w:val="00530154"/>
    <w:rsid w:val="00533FBA"/>
    <w:rsid w:val="0053472C"/>
    <w:rsid w:val="00535164"/>
    <w:rsid w:val="00537662"/>
    <w:rsid w:val="00537BF8"/>
    <w:rsid w:val="00537C15"/>
    <w:rsid w:val="00550946"/>
    <w:rsid w:val="005513A4"/>
    <w:rsid w:val="005545BE"/>
    <w:rsid w:val="00556A7C"/>
    <w:rsid w:val="00561CEA"/>
    <w:rsid w:val="0057094B"/>
    <w:rsid w:val="005722A5"/>
    <w:rsid w:val="005753BE"/>
    <w:rsid w:val="0058173E"/>
    <w:rsid w:val="00582280"/>
    <w:rsid w:val="00584E27"/>
    <w:rsid w:val="00585306"/>
    <w:rsid w:val="0059186D"/>
    <w:rsid w:val="00592230"/>
    <w:rsid w:val="00593D0E"/>
    <w:rsid w:val="00597627"/>
    <w:rsid w:val="005A4D32"/>
    <w:rsid w:val="005B0825"/>
    <w:rsid w:val="005B29DA"/>
    <w:rsid w:val="005B3A38"/>
    <w:rsid w:val="005C0642"/>
    <w:rsid w:val="005C0CF0"/>
    <w:rsid w:val="005C71E5"/>
    <w:rsid w:val="005D2C51"/>
    <w:rsid w:val="005D5518"/>
    <w:rsid w:val="005D60B1"/>
    <w:rsid w:val="005E10D5"/>
    <w:rsid w:val="005E5FB3"/>
    <w:rsid w:val="005F39F9"/>
    <w:rsid w:val="005F5FE0"/>
    <w:rsid w:val="00602368"/>
    <w:rsid w:val="00602F1F"/>
    <w:rsid w:val="00610E98"/>
    <w:rsid w:val="0062357A"/>
    <w:rsid w:val="00627B07"/>
    <w:rsid w:val="00627E1F"/>
    <w:rsid w:val="006343E0"/>
    <w:rsid w:val="00642680"/>
    <w:rsid w:val="006475EE"/>
    <w:rsid w:val="006500AD"/>
    <w:rsid w:val="006509B0"/>
    <w:rsid w:val="00653928"/>
    <w:rsid w:val="00654110"/>
    <w:rsid w:val="006603B6"/>
    <w:rsid w:val="00662649"/>
    <w:rsid w:val="00666512"/>
    <w:rsid w:val="006721E8"/>
    <w:rsid w:val="0067317D"/>
    <w:rsid w:val="00681D09"/>
    <w:rsid w:val="006926C1"/>
    <w:rsid w:val="00697798"/>
    <w:rsid w:val="006A0AB0"/>
    <w:rsid w:val="006A26E1"/>
    <w:rsid w:val="006A55CA"/>
    <w:rsid w:val="006A6708"/>
    <w:rsid w:val="006B155D"/>
    <w:rsid w:val="006B1D39"/>
    <w:rsid w:val="006B250F"/>
    <w:rsid w:val="006B4A36"/>
    <w:rsid w:val="006B5910"/>
    <w:rsid w:val="006B6970"/>
    <w:rsid w:val="006C16E3"/>
    <w:rsid w:val="006D33C1"/>
    <w:rsid w:val="006D6DBE"/>
    <w:rsid w:val="006E29E9"/>
    <w:rsid w:val="006E3DCE"/>
    <w:rsid w:val="006F0D61"/>
    <w:rsid w:val="006F20CF"/>
    <w:rsid w:val="006F582A"/>
    <w:rsid w:val="007003A5"/>
    <w:rsid w:val="00702219"/>
    <w:rsid w:val="0070427F"/>
    <w:rsid w:val="00711823"/>
    <w:rsid w:val="00714DC5"/>
    <w:rsid w:val="0071767F"/>
    <w:rsid w:val="0072155E"/>
    <w:rsid w:val="007224D2"/>
    <w:rsid w:val="0073372D"/>
    <w:rsid w:val="00733D83"/>
    <w:rsid w:val="00741898"/>
    <w:rsid w:val="007446E4"/>
    <w:rsid w:val="00751418"/>
    <w:rsid w:val="007523EE"/>
    <w:rsid w:val="00754F62"/>
    <w:rsid w:val="00757224"/>
    <w:rsid w:val="00760650"/>
    <w:rsid w:val="00762F44"/>
    <w:rsid w:val="00771C88"/>
    <w:rsid w:val="00784E9E"/>
    <w:rsid w:val="00787CBB"/>
    <w:rsid w:val="0079219A"/>
    <w:rsid w:val="00796F80"/>
    <w:rsid w:val="00796FBA"/>
    <w:rsid w:val="00797287"/>
    <w:rsid w:val="007A7E53"/>
    <w:rsid w:val="007B0E04"/>
    <w:rsid w:val="007B3530"/>
    <w:rsid w:val="007B489A"/>
    <w:rsid w:val="007B79FC"/>
    <w:rsid w:val="007C37F7"/>
    <w:rsid w:val="007C5111"/>
    <w:rsid w:val="007D26FB"/>
    <w:rsid w:val="007D3926"/>
    <w:rsid w:val="007D73CA"/>
    <w:rsid w:val="007E6E7C"/>
    <w:rsid w:val="007F0961"/>
    <w:rsid w:val="007F46A4"/>
    <w:rsid w:val="007F4A39"/>
    <w:rsid w:val="007F790D"/>
    <w:rsid w:val="00800EFC"/>
    <w:rsid w:val="00802491"/>
    <w:rsid w:val="008052C4"/>
    <w:rsid w:val="0081756C"/>
    <w:rsid w:val="00821BB7"/>
    <w:rsid w:val="00825BCE"/>
    <w:rsid w:val="00830915"/>
    <w:rsid w:val="00842608"/>
    <w:rsid w:val="00844611"/>
    <w:rsid w:val="00847A63"/>
    <w:rsid w:val="008524E6"/>
    <w:rsid w:val="00860768"/>
    <w:rsid w:val="008611B6"/>
    <w:rsid w:val="008637E6"/>
    <w:rsid w:val="00865F14"/>
    <w:rsid w:val="00872384"/>
    <w:rsid w:val="00880BD2"/>
    <w:rsid w:val="00884C73"/>
    <w:rsid w:val="008857ED"/>
    <w:rsid w:val="0088667A"/>
    <w:rsid w:val="00886FE8"/>
    <w:rsid w:val="008972E5"/>
    <w:rsid w:val="008A73FB"/>
    <w:rsid w:val="008B06BE"/>
    <w:rsid w:val="008B252B"/>
    <w:rsid w:val="008B3CC3"/>
    <w:rsid w:val="008B3E18"/>
    <w:rsid w:val="008B4083"/>
    <w:rsid w:val="008B55F0"/>
    <w:rsid w:val="008C2E74"/>
    <w:rsid w:val="008C594A"/>
    <w:rsid w:val="008C5FED"/>
    <w:rsid w:val="008D3300"/>
    <w:rsid w:val="008E1B2F"/>
    <w:rsid w:val="008E3798"/>
    <w:rsid w:val="008F7823"/>
    <w:rsid w:val="00904874"/>
    <w:rsid w:val="00906566"/>
    <w:rsid w:val="00907352"/>
    <w:rsid w:val="00912D01"/>
    <w:rsid w:val="009132ED"/>
    <w:rsid w:val="0091550C"/>
    <w:rsid w:val="00915531"/>
    <w:rsid w:val="009174F3"/>
    <w:rsid w:val="009217F1"/>
    <w:rsid w:val="00922034"/>
    <w:rsid w:val="0092310D"/>
    <w:rsid w:val="00927741"/>
    <w:rsid w:val="00934AC5"/>
    <w:rsid w:val="00943DCD"/>
    <w:rsid w:val="00945073"/>
    <w:rsid w:val="00947AB7"/>
    <w:rsid w:val="00952802"/>
    <w:rsid w:val="0096044B"/>
    <w:rsid w:val="00961603"/>
    <w:rsid w:val="00966210"/>
    <w:rsid w:val="009705EE"/>
    <w:rsid w:val="00970645"/>
    <w:rsid w:val="0097081A"/>
    <w:rsid w:val="0097183B"/>
    <w:rsid w:val="009770AC"/>
    <w:rsid w:val="00977BAD"/>
    <w:rsid w:val="009839C7"/>
    <w:rsid w:val="00986F96"/>
    <w:rsid w:val="009A5AA3"/>
    <w:rsid w:val="009B0085"/>
    <w:rsid w:val="009B1A7A"/>
    <w:rsid w:val="009B3ABD"/>
    <w:rsid w:val="009B42B6"/>
    <w:rsid w:val="009C1A05"/>
    <w:rsid w:val="009C1C46"/>
    <w:rsid w:val="009C5757"/>
    <w:rsid w:val="009D1D88"/>
    <w:rsid w:val="00A05EFE"/>
    <w:rsid w:val="00A17E1C"/>
    <w:rsid w:val="00A2137E"/>
    <w:rsid w:val="00A21FA6"/>
    <w:rsid w:val="00A2225A"/>
    <w:rsid w:val="00A252B1"/>
    <w:rsid w:val="00A2763F"/>
    <w:rsid w:val="00A316A6"/>
    <w:rsid w:val="00A3195D"/>
    <w:rsid w:val="00A40509"/>
    <w:rsid w:val="00A40895"/>
    <w:rsid w:val="00A4723B"/>
    <w:rsid w:val="00A5071A"/>
    <w:rsid w:val="00A50AC5"/>
    <w:rsid w:val="00A50CA5"/>
    <w:rsid w:val="00A533BD"/>
    <w:rsid w:val="00A556C5"/>
    <w:rsid w:val="00A605C4"/>
    <w:rsid w:val="00A6131B"/>
    <w:rsid w:val="00A62947"/>
    <w:rsid w:val="00A650EE"/>
    <w:rsid w:val="00A86306"/>
    <w:rsid w:val="00A86424"/>
    <w:rsid w:val="00AA31EE"/>
    <w:rsid w:val="00AA45AC"/>
    <w:rsid w:val="00AA7137"/>
    <w:rsid w:val="00AC011F"/>
    <w:rsid w:val="00AC4222"/>
    <w:rsid w:val="00AD1613"/>
    <w:rsid w:val="00AD2F95"/>
    <w:rsid w:val="00AD3913"/>
    <w:rsid w:val="00AD6052"/>
    <w:rsid w:val="00AD6B9B"/>
    <w:rsid w:val="00AE0D87"/>
    <w:rsid w:val="00AE5732"/>
    <w:rsid w:val="00AE58D0"/>
    <w:rsid w:val="00AF04B0"/>
    <w:rsid w:val="00AF3111"/>
    <w:rsid w:val="00AF4084"/>
    <w:rsid w:val="00AF7128"/>
    <w:rsid w:val="00B07A7E"/>
    <w:rsid w:val="00B10755"/>
    <w:rsid w:val="00B114AD"/>
    <w:rsid w:val="00B143B2"/>
    <w:rsid w:val="00B202E9"/>
    <w:rsid w:val="00B22C6C"/>
    <w:rsid w:val="00B259F3"/>
    <w:rsid w:val="00B25CA1"/>
    <w:rsid w:val="00B264C2"/>
    <w:rsid w:val="00B30047"/>
    <w:rsid w:val="00B31C05"/>
    <w:rsid w:val="00B341A0"/>
    <w:rsid w:val="00B444CA"/>
    <w:rsid w:val="00B474FD"/>
    <w:rsid w:val="00B50B9B"/>
    <w:rsid w:val="00B50E1E"/>
    <w:rsid w:val="00B51999"/>
    <w:rsid w:val="00B5317C"/>
    <w:rsid w:val="00B54D96"/>
    <w:rsid w:val="00B72DF6"/>
    <w:rsid w:val="00B7339E"/>
    <w:rsid w:val="00B73AB4"/>
    <w:rsid w:val="00B80E97"/>
    <w:rsid w:val="00B82C0F"/>
    <w:rsid w:val="00B87C57"/>
    <w:rsid w:val="00B905BD"/>
    <w:rsid w:val="00B92514"/>
    <w:rsid w:val="00B93869"/>
    <w:rsid w:val="00B93BF5"/>
    <w:rsid w:val="00B93D9D"/>
    <w:rsid w:val="00B97D31"/>
    <w:rsid w:val="00BA0BAD"/>
    <w:rsid w:val="00BA0D39"/>
    <w:rsid w:val="00BA3CE1"/>
    <w:rsid w:val="00BA5614"/>
    <w:rsid w:val="00BB1DD7"/>
    <w:rsid w:val="00BB4284"/>
    <w:rsid w:val="00BB43BC"/>
    <w:rsid w:val="00BB5A8C"/>
    <w:rsid w:val="00BC1D69"/>
    <w:rsid w:val="00BC4797"/>
    <w:rsid w:val="00BD04A3"/>
    <w:rsid w:val="00BD1E9F"/>
    <w:rsid w:val="00BD3F36"/>
    <w:rsid w:val="00BD6EC8"/>
    <w:rsid w:val="00BE5206"/>
    <w:rsid w:val="00BE68F2"/>
    <w:rsid w:val="00BE73DE"/>
    <w:rsid w:val="00BE7767"/>
    <w:rsid w:val="00BF0DDE"/>
    <w:rsid w:val="00BF3341"/>
    <w:rsid w:val="00C035F9"/>
    <w:rsid w:val="00C0490E"/>
    <w:rsid w:val="00C07291"/>
    <w:rsid w:val="00C12CD2"/>
    <w:rsid w:val="00C12E7C"/>
    <w:rsid w:val="00C15208"/>
    <w:rsid w:val="00C165E8"/>
    <w:rsid w:val="00C16873"/>
    <w:rsid w:val="00C219B3"/>
    <w:rsid w:val="00C22FF1"/>
    <w:rsid w:val="00C24E74"/>
    <w:rsid w:val="00C30A31"/>
    <w:rsid w:val="00C376B3"/>
    <w:rsid w:val="00C46221"/>
    <w:rsid w:val="00C4780B"/>
    <w:rsid w:val="00C57079"/>
    <w:rsid w:val="00C6051D"/>
    <w:rsid w:val="00C65E70"/>
    <w:rsid w:val="00C706B5"/>
    <w:rsid w:val="00C70A2D"/>
    <w:rsid w:val="00C76B8B"/>
    <w:rsid w:val="00C77AD8"/>
    <w:rsid w:val="00C823F0"/>
    <w:rsid w:val="00C83E28"/>
    <w:rsid w:val="00C900C5"/>
    <w:rsid w:val="00C91B91"/>
    <w:rsid w:val="00C95300"/>
    <w:rsid w:val="00C9682B"/>
    <w:rsid w:val="00C97C27"/>
    <w:rsid w:val="00CA08EB"/>
    <w:rsid w:val="00CA33A3"/>
    <w:rsid w:val="00CA4C49"/>
    <w:rsid w:val="00CA5B7F"/>
    <w:rsid w:val="00CB0936"/>
    <w:rsid w:val="00CB0A17"/>
    <w:rsid w:val="00CB110D"/>
    <w:rsid w:val="00CB3EA8"/>
    <w:rsid w:val="00CC21E8"/>
    <w:rsid w:val="00CC4F7D"/>
    <w:rsid w:val="00CD1FA9"/>
    <w:rsid w:val="00CD6D4B"/>
    <w:rsid w:val="00CE4DDB"/>
    <w:rsid w:val="00CE7EF1"/>
    <w:rsid w:val="00CF281B"/>
    <w:rsid w:val="00D0190A"/>
    <w:rsid w:val="00D032AE"/>
    <w:rsid w:val="00D03376"/>
    <w:rsid w:val="00D20C53"/>
    <w:rsid w:val="00D21647"/>
    <w:rsid w:val="00D2785F"/>
    <w:rsid w:val="00D423DE"/>
    <w:rsid w:val="00D44C2B"/>
    <w:rsid w:val="00D44CAF"/>
    <w:rsid w:val="00D44EBF"/>
    <w:rsid w:val="00D518AB"/>
    <w:rsid w:val="00D51F35"/>
    <w:rsid w:val="00D64ADB"/>
    <w:rsid w:val="00D667B8"/>
    <w:rsid w:val="00D7591F"/>
    <w:rsid w:val="00D7624D"/>
    <w:rsid w:val="00D825F7"/>
    <w:rsid w:val="00D861D5"/>
    <w:rsid w:val="00D92754"/>
    <w:rsid w:val="00D92BC6"/>
    <w:rsid w:val="00D95A29"/>
    <w:rsid w:val="00DA13CA"/>
    <w:rsid w:val="00DA1AEB"/>
    <w:rsid w:val="00DA3258"/>
    <w:rsid w:val="00DA55B8"/>
    <w:rsid w:val="00DA629D"/>
    <w:rsid w:val="00DA7E2A"/>
    <w:rsid w:val="00DB2739"/>
    <w:rsid w:val="00DC496F"/>
    <w:rsid w:val="00DD019E"/>
    <w:rsid w:val="00DD07BB"/>
    <w:rsid w:val="00DD0ED8"/>
    <w:rsid w:val="00DD7161"/>
    <w:rsid w:val="00DE07A4"/>
    <w:rsid w:val="00DE0B2D"/>
    <w:rsid w:val="00DE3665"/>
    <w:rsid w:val="00DE4C08"/>
    <w:rsid w:val="00DF13CC"/>
    <w:rsid w:val="00DF31E0"/>
    <w:rsid w:val="00DF6277"/>
    <w:rsid w:val="00DF6527"/>
    <w:rsid w:val="00E02A09"/>
    <w:rsid w:val="00E13413"/>
    <w:rsid w:val="00E1408E"/>
    <w:rsid w:val="00E15029"/>
    <w:rsid w:val="00E20938"/>
    <w:rsid w:val="00E22617"/>
    <w:rsid w:val="00E22B40"/>
    <w:rsid w:val="00E2349D"/>
    <w:rsid w:val="00E23E61"/>
    <w:rsid w:val="00E26B7C"/>
    <w:rsid w:val="00E30230"/>
    <w:rsid w:val="00E43924"/>
    <w:rsid w:val="00E44BD4"/>
    <w:rsid w:val="00E5075B"/>
    <w:rsid w:val="00E55AF7"/>
    <w:rsid w:val="00E55CAA"/>
    <w:rsid w:val="00E55EC2"/>
    <w:rsid w:val="00E56BBC"/>
    <w:rsid w:val="00E62874"/>
    <w:rsid w:val="00E7017E"/>
    <w:rsid w:val="00E73BEF"/>
    <w:rsid w:val="00E82C5D"/>
    <w:rsid w:val="00E87D4E"/>
    <w:rsid w:val="00E95974"/>
    <w:rsid w:val="00E96C9D"/>
    <w:rsid w:val="00EA048C"/>
    <w:rsid w:val="00EA08D5"/>
    <w:rsid w:val="00EA68C1"/>
    <w:rsid w:val="00EB0A3E"/>
    <w:rsid w:val="00EB63F5"/>
    <w:rsid w:val="00EC1CCF"/>
    <w:rsid w:val="00EC3144"/>
    <w:rsid w:val="00EC42AD"/>
    <w:rsid w:val="00ED3BA6"/>
    <w:rsid w:val="00ED55FF"/>
    <w:rsid w:val="00EE1DB4"/>
    <w:rsid w:val="00EE7B7D"/>
    <w:rsid w:val="00EF1178"/>
    <w:rsid w:val="00EF123D"/>
    <w:rsid w:val="00EF1C50"/>
    <w:rsid w:val="00EF1E0A"/>
    <w:rsid w:val="00EF44EC"/>
    <w:rsid w:val="00EF53F1"/>
    <w:rsid w:val="00EF7327"/>
    <w:rsid w:val="00F017BE"/>
    <w:rsid w:val="00F1075F"/>
    <w:rsid w:val="00F123C9"/>
    <w:rsid w:val="00F1253F"/>
    <w:rsid w:val="00F133FE"/>
    <w:rsid w:val="00F14F21"/>
    <w:rsid w:val="00F15E4E"/>
    <w:rsid w:val="00F17389"/>
    <w:rsid w:val="00F2080D"/>
    <w:rsid w:val="00F33B40"/>
    <w:rsid w:val="00F34C77"/>
    <w:rsid w:val="00F34DEA"/>
    <w:rsid w:val="00F36ABA"/>
    <w:rsid w:val="00F36D43"/>
    <w:rsid w:val="00F42F12"/>
    <w:rsid w:val="00F46773"/>
    <w:rsid w:val="00F65C59"/>
    <w:rsid w:val="00F83A4D"/>
    <w:rsid w:val="00F91B33"/>
    <w:rsid w:val="00F962CE"/>
    <w:rsid w:val="00FA0B7E"/>
    <w:rsid w:val="00FA147D"/>
    <w:rsid w:val="00FA4221"/>
    <w:rsid w:val="00FA78EB"/>
    <w:rsid w:val="00FB6A99"/>
    <w:rsid w:val="00FB7901"/>
    <w:rsid w:val="00FC0796"/>
    <w:rsid w:val="00FD1430"/>
    <w:rsid w:val="00FE18BC"/>
    <w:rsid w:val="00FF03AE"/>
    <w:rsid w:val="00FF4DBF"/>
    <w:rsid w:val="01BD17FD"/>
    <w:rsid w:val="02331ABF"/>
    <w:rsid w:val="035D3297"/>
    <w:rsid w:val="03C926DB"/>
    <w:rsid w:val="04073203"/>
    <w:rsid w:val="054A2E09"/>
    <w:rsid w:val="05627177"/>
    <w:rsid w:val="058B12D3"/>
    <w:rsid w:val="05A131E3"/>
    <w:rsid w:val="08093515"/>
    <w:rsid w:val="08C276F9"/>
    <w:rsid w:val="09F935EE"/>
    <w:rsid w:val="09FE3650"/>
    <w:rsid w:val="0A0106F5"/>
    <w:rsid w:val="0BF54567"/>
    <w:rsid w:val="0C565CAD"/>
    <w:rsid w:val="0CF04EF0"/>
    <w:rsid w:val="0DD405FA"/>
    <w:rsid w:val="0E680D42"/>
    <w:rsid w:val="0E843AEA"/>
    <w:rsid w:val="0EAD18E0"/>
    <w:rsid w:val="0EC87A33"/>
    <w:rsid w:val="0F0169F0"/>
    <w:rsid w:val="0F74418B"/>
    <w:rsid w:val="0F8703E2"/>
    <w:rsid w:val="0FFC5BE6"/>
    <w:rsid w:val="11863ECD"/>
    <w:rsid w:val="12D76496"/>
    <w:rsid w:val="134654DF"/>
    <w:rsid w:val="13DA0AFE"/>
    <w:rsid w:val="15963DAB"/>
    <w:rsid w:val="17B5547B"/>
    <w:rsid w:val="18724860"/>
    <w:rsid w:val="18BD6180"/>
    <w:rsid w:val="18E70661"/>
    <w:rsid w:val="1A38011F"/>
    <w:rsid w:val="1A553A4D"/>
    <w:rsid w:val="1B7E7DF7"/>
    <w:rsid w:val="1D0EAC8E"/>
    <w:rsid w:val="1F3D3619"/>
    <w:rsid w:val="1FB5174C"/>
    <w:rsid w:val="20890A44"/>
    <w:rsid w:val="21F4496F"/>
    <w:rsid w:val="24192135"/>
    <w:rsid w:val="246F29D3"/>
    <w:rsid w:val="25550A3E"/>
    <w:rsid w:val="27391076"/>
    <w:rsid w:val="273B4DEE"/>
    <w:rsid w:val="2983704C"/>
    <w:rsid w:val="2AB621B9"/>
    <w:rsid w:val="2ACF4CB0"/>
    <w:rsid w:val="2B4E7395"/>
    <w:rsid w:val="2C077995"/>
    <w:rsid w:val="2D2325AC"/>
    <w:rsid w:val="2D4542D1"/>
    <w:rsid w:val="2DA76D39"/>
    <w:rsid w:val="2DBB66F5"/>
    <w:rsid w:val="2DD85957"/>
    <w:rsid w:val="2DF534EC"/>
    <w:rsid w:val="2E2BA8C2"/>
    <w:rsid w:val="2EDA4836"/>
    <w:rsid w:val="2FD229D3"/>
    <w:rsid w:val="2FD91648"/>
    <w:rsid w:val="2FFE04CB"/>
    <w:rsid w:val="320A27A5"/>
    <w:rsid w:val="32821B23"/>
    <w:rsid w:val="333357E6"/>
    <w:rsid w:val="33DE547F"/>
    <w:rsid w:val="33F8CA3F"/>
    <w:rsid w:val="345D7D0C"/>
    <w:rsid w:val="348B5C9C"/>
    <w:rsid w:val="3492481E"/>
    <w:rsid w:val="34FC75BC"/>
    <w:rsid w:val="35256FDE"/>
    <w:rsid w:val="362E45FC"/>
    <w:rsid w:val="381B0A50"/>
    <w:rsid w:val="386F79BF"/>
    <w:rsid w:val="38886826"/>
    <w:rsid w:val="3A2A31CC"/>
    <w:rsid w:val="3A7A1689"/>
    <w:rsid w:val="3B3F4A1B"/>
    <w:rsid w:val="3D7D1AFF"/>
    <w:rsid w:val="3DB66DD6"/>
    <w:rsid w:val="3DDA21A5"/>
    <w:rsid w:val="3DEC66CB"/>
    <w:rsid w:val="3E71447D"/>
    <w:rsid w:val="3EE949AA"/>
    <w:rsid w:val="3EEC9662"/>
    <w:rsid w:val="411C5A44"/>
    <w:rsid w:val="42195CDA"/>
    <w:rsid w:val="42417305"/>
    <w:rsid w:val="42AB0C22"/>
    <w:rsid w:val="43380328"/>
    <w:rsid w:val="43DB1F7F"/>
    <w:rsid w:val="43E75C8A"/>
    <w:rsid w:val="451A3E3D"/>
    <w:rsid w:val="457E6565"/>
    <w:rsid w:val="47727F60"/>
    <w:rsid w:val="488C6E00"/>
    <w:rsid w:val="48BA197D"/>
    <w:rsid w:val="490C7A2D"/>
    <w:rsid w:val="495A5150"/>
    <w:rsid w:val="4BC957E8"/>
    <w:rsid w:val="4CA94424"/>
    <w:rsid w:val="4D821820"/>
    <w:rsid w:val="4EB26E95"/>
    <w:rsid w:val="4EC14837"/>
    <w:rsid w:val="4F2C002E"/>
    <w:rsid w:val="4F69118B"/>
    <w:rsid w:val="4FBD4D07"/>
    <w:rsid w:val="4FD23C92"/>
    <w:rsid w:val="50566671"/>
    <w:rsid w:val="5084157F"/>
    <w:rsid w:val="50852AB2"/>
    <w:rsid w:val="50B31917"/>
    <w:rsid w:val="54A17BFE"/>
    <w:rsid w:val="57FB5F04"/>
    <w:rsid w:val="5834185B"/>
    <w:rsid w:val="58D26B89"/>
    <w:rsid w:val="5A8E4C59"/>
    <w:rsid w:val="5ADC7773"/>
    <w:rsid w:val="5AE51AA8"/>
    <w:rsid w:val="5B863B83"/>
    <w:rsid w:val="5B9F16BB"/>
    <w:rsid w:val="5EE0599B"/>
    <w:rsid w:val="5EFE05DC"/>
    <w:rsid w:val="5F281E50"/>
    <w:rsid w:val="61BC7996"/>
    <w:rsid w:val="62D578C9"/>
    <w:rsid w:val="631303F2"/>
    <w:rsid w:val="63C37D22"/>
    <w:rsid w:val="652D533D"/>
    <w:rsid w:val="66394E70"/>
    <w:rsid w:val="688A2B96"/>
    <w:rsid w:val="68C07C0D"/>
    <w:rsid w:val="69603C65"/>
    <w:rsid w:val="6962622E"/>
    <w:rsid w:val="699102C2"/>
    <w:rsid w:val="69E14DA6"/>
    <w:rsid w:val="6AA33E09"/>
    <w:rsid w:val="6AAB3841"/>
    <w:rsid w:val="6AE94706"/>
    <w:rsid w:val="6AFC40B2"/>
    <w:rsid w:val="6B0A4010"/>
    <w:rsid w:val="6B323577"/>
    <w:rsid w:val="6B6E3EBB"/>
    <w:rsid w:val="6D5F3E88"/>
    <w:rsid w:val="6DDF806F"/>
    <w:rsid w:val="6DF74C76"/>
    <w:rsid w:val="6E0F939B"/>
    <w:rsid w:val="6EEA46FD"/>
    <w:rsid w:val="6F305E87"/>
    <w:rsid w:val="6F6B35F4"/>
    <w:rsid w:val="6F9942BF"/>
    <w:rsid w:val="70133115"/>
    <w:rsid w:val="706849A4"/>
    <w:rsid w:val="70A24B63"/>
    <w:rsid w:val="70F73101"/>
    <w:rsid w:val="72C32F6D"/>
    <w:rsid w:val="731ACA77"/>
    <w:rsid w:val="7375336F"/>
    <w:rsid w:val="7395077F"/>
    <w:rsid w:val="73A47D46"/>
    <w:rsid w:val="74F10946"/>
    <w:rsid w:val="7641372B"/>
    <w:rsid w:val="76862B22"/>
    <w:rsid w:val="76FF4ABD"/>
    <w:rsid w:val="77BDDAEE"/>
    <w:rsid w:val="79211488"/>
    <w:rsid w:val="79AB2CDA"/>
    <w:rsid w:val="7AC003F9"/>
    <w:rsid w:val="7AD61FD9"/>
    <w:rsid w:val="7B29035B"/>
    <w:rsid w:val="7C7575D0"/>
    <w:rsid w:val="7D1F3588"/>
    <w:rsid w:val="7D2F59D0"/>
    <w:rsid w:val="7DA550BF"/>
    <w:rsid w:val="7F11406B"/>
    <w:rsid w:val="7F9BC404"/>
    <w:rsid w:val="7FA15D8B"/>
    <w:rsid w:val="7FBF5758"/>
    <w:rsid w:val="7FDA71DB"/>
    <w:rsid w:val="7FEC3903"/>
    <w:rsid w:val="7FF7421F"/>
    <w:rsid w:val="89FBBCAC"/>
    <w:rsid w:val="AABD0C3D"/>
    <w:rsid w:val="B348F22D"/>
    <w:rsid w:val="D778E2FB"/>
    <w:rsid w:val="DFBF5C90"/>
    <w:rsid w:val="E7FB5C14"/>
    <w:rsid w:val="E9B99CAB"/>
    <w:rsid w:val="F7B31E01"/>
    <w:rsid w:val="FBAF1F7C"/>
    <w:rsid w:val="FDF85287"/>
    <w:rsid w:val="FEED8859"/>
    <w:rsid w:val="FFBFF394"/>
    <w:rsid w:val="FFFD1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3">
    <w:name w:val="heading 2"/>
    <w:basedOn w:val="1"/>
    <w:next w:val="1"/>
    <w:link w:val="51"/>
    <w:qFormat/>
    <w:uiPriority w:val="0"/>
    <w:pPr>
      <w:keepNext/>
      <w:keepLines/>
      <w:adjustRightInd w:val="0"/>
      <w:snapToGrid w:val="0"/>
      <w:jc w:val="center"/>
      <w:outlineLvl w:val="1"/>
    </w:pPr>
    <w:rPr>
      <w:rFonts w:ascii="Arial" w:hAnsi="Arial" w:eastAsia="楷体"/>
      <w:b/>
      <w:bCs/>
      <w:sz w:val="24"/>
      <w:szCs w:val="32"/>
    </w:rPr>
  </w:style>
  <w:style w:type="paragraph" w:styleId="4">
    <w:name w:val="heading 3"/>
    <w:basedOn w:val="1"/>
    <w:next w:val="1"/>
    <w:link w:val="52"/>
    <w:qFormat/>
    <w:uiPriority w:val="0"/>
    <w:pPr>
      <w:keepNext/>
      <w:keepLines/>
      <w:spacing w:before="260" w:after="260" w:line="413" w:lineRule="auto"/>
      <w:outlineLvl w:val="2"/>
    </w:pPr>
    <w:rPr>
      <w:b/>
      <w:sz w:val="32"/>
      <w:szCs w:val="20"/>
    </w:rPr>
  </w:style>
  <w:style w:type="paragraph" w:styleId="5">
    <w:name w:val="heading 4"/>
    <w:basedOn w:val="1"/>
    <w:next w:val="1"/>
    <w:link w:val="53"/>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5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35"/>
    <w:pPr>
      <w:spacing w:before="120" w:after="120"/>
    </w:pPr>
    <w:rPr>
      <w:b/>
    </w:rPr>
  </w:style>
  <w:style w:type="paragraph" w:styleId="13">
    <w:name w:val="Document Map"/>
    <w:basedOn w:val="1"/>
    <w:link w:val="71"/>
    <w:qFormat/>
    <w:uiPriority w:val="99"/>
    <w:pPr>
      <w:shd w:val="clear" w:color="auto" w:fill="000080"/>
    </w:pPr>
  </w:style>
  <w:style w:type="paragraph" w:styleId="14">
    <w:name w:val="annotation text"/>
    <w:basedOn w:val="1"/>
    <w:link w:val="69"/>
    <w:unhideWhenUsed/>
    <w:qFormat/>
    <w:uiPriority w:val="99"/>
  </w:style>
  <w:style w:type="paragraph" w:styleId="15">
    <w:name w:val="Salutation"/>
    <w:basedOn w:val="1"/>
    <w:next w:val="1"/>
    <w:link w:val="169"/>
    <w:qFormat/>
    <w:uiPriority w:val="0"/>
    <w:rPr>
      <w:szCs w:val="20"/>
    </w:rPr>
  </w:style>
  <w:style w:type="paragraph" w:styleId="16">
    <w:name w:val="Body Text 3"/>
    <w:basedOn w:val="1"/>
    <w:link w:val="266"/>
    <w:unhideWhenUsed/>
    <w:qFormat/>
    <w:uiPriority w:val="99"/>
    <w:pPr>
      <w:spacing w:after="120"/>
    </w:pPr>
    <w:rPr>
      <w:sz w:val="16"/>
      <w:szCs w:val="16"/>
    </w:rPr>
  </w:style>
  <w:style w:type="paragraph" w:styleId="17">
    <w:name w:val="List Bullet 3"/>
    <w:basedOn w:val="1"/>
    <w:qFormat/>
    <w:uiPriority w:val="0"/>
    <w:pPr>
      <w:tabs>
        <w:tab w:val="left" w:pos="720"/>
      </w:tabs>
      <w:ind w:left="720" w:hanging="720"/>
      <w:outlineLvl w:val="0"/>
    </w:pPr>
    <w:rPr>
      <w:color w:val="0000FF"/>
      <w:sz w:val="24"/>
      <w:szCs w:val="20"/>
    </w:rPr>
  </w:style>
  <w:style w:type="paragraph" w:styleId="18">
    <w:name w:val="Body Text"/>
    <w:basedOn w:val="1"/>
    <w:next w:val="1"/>
    <w:link w:val="72"/>
    <w:qFormat/>
    <w:uiPriority w:val="0"/>
    <w:pPr>
      <w:spacing w:after="120"/>
    </w:pPr>
  </w:style>
  <w:style w:type="paragraph" w:styleId="19">
    <w:name w:val="Body Text Indent"/>
    <w:basedOn w:val="1"/>
    <w:link w:val="74"/>
    <w:qFormat/>
    <w:uiPriority w:val="0"/>
    <w:pPr>
      <w:autoSpaceDE w:val="0"/>
      <w:autoSpaceDN w:val="0"/>
      <w:adjustRightInd w:val="0"/>
      <w:spacing w:line="460" w:lineRule="exact"/>
      <w:ind w:firstLine="570"/>
    </w:pPr>
    <w:rPr>
      <w:rFonts w:ascii="宋体"/>
      <w:kern w:val="0"/>
      <w:sz w:val="24"/>
      <w:szCs w:val="20"/>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75"/>
    <w:qFormat/>
    <w:uiPriority w:val="0"/>
    <w:rPr>
      <w:rFonts w:ascii="宋体" w:hAnsi="Courier New"/>
      <w:sz w:val="19"/>
      <w:szCs w:val="20"/>
    </w:rPr>
  </w:style>
  <w:style w:type="paragraph" w:styleId="23">
    <w:name w:val="Date"/>
    <w:basedOn w:val="1"/>
    <w:next w:val="1"/>
    <w:link w:val="76"/>
    <w:qFormat/>
    <w:uiPriority w:val="0"/>
    <w:pPr>
      <w:autoSpaceDE w:val="0"/>
      <w:autoSpaceDN w:val="0"/>
      <w:adjustRightInd w:val="0"/>
    </w:pPr>
    <w:rPr>
      <w:rFonts w:ascii="宋体"/>
      <w:kern w:val="0"/>
      <w:sz w:val="28"/>
      <w:szCs w:val="20"/>
    </w:rPr>
  </w:style>
  <w:style w:type="paragraph" w:styleId="24">
    <w:name w:val="Body Text Indent 2"/>
    <w:basedOn w:val="1"/>
    <w:link w:val="77"/>
    <w:qFormat/>
    <w:uiPriority w:val="0"/>
    <w:pPr>
      <w:spacing w:line="600" w:lineRule="atLeast"/>
      <w:ind w:left="241" w:leftChars="241" w:firstLine="647" w:firstLineChars="231"/>
    </w:pPr>
    <w:rPr>
      <w:sz w:val="28"/>
      <w:szCs w:val="20"/>
    </w:rPr>
  </w:style>
  <w:style w:type="paragraph" w:styleId="25">
    <w:name w:val="Balloon Text"/>
    <w:basedOn w:val="1"/>
    <w:link w:val="79"/>
    <w:qFormat/>
    <w:uiPriority w:val="99"/>
    <w:rPr>
      <w:sz w:val="18"/>
      <w:szCs w:val="18"/>
    </w:rPr>
  </w:style>
  <w:style w:type="paragraph" w:styleId="26">
    <w:name w:val="footer"/>
    <w:basedOn w:val="1"/>
    <w:link w:val="60"/>
    <w:unhideWhenUsed/>
    <w:qFormat/>
    <w:uiPriority w:val="0"/>
    <w:pPr>
      <w:tabs>
        <w:tab w:val="center" w:pos="4153"/>
        <w:tab w:val="right" w:pos="8306"/>
      </w:tabs>
      <w:snapToGrid w:val="0"/>
    </w:pPr>
    <w:rPr>
      <w:sz w:val="18"/>
      <w:szCs w:val="18"/>
    </w:rPr>
  </w:style>
  <w:style w:type="paragraph" w:styleId="27">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pPr>
  </w:style>
  <w:style w:type="paragraph" w:styleId="29">
    <w:name w:val="footnote text"/>
    <w:basedOn w:val="1"/>
    <w:link w:val="82"/>
    <w:qFormat/>
    <w:uiPriority w:val="0"/>
    <w:pPr>
      <w:snapToGrid w:val="0"/>
    </w:pPr>
    <w:rPr>
      <w:sz w:val="18"/>
      <w:szCs w:val="18"/>
    </w:rPr>
  </w:style>
  <w:style w:type="paragraph" w:styleId="30">
    <w:name w:val="Body Text Indent 3"/>
    <w:basedOn w:val="1"/>
    <w:link w:val="83"/>
    <w:qFormat/>
    <w:uiPriority w:val="0"/>
    <w:pPr>
      <w:spacing w:line="360" w:lineRule="auto"/>
      <w:ind w:right="67" w:firstLine="420"/>
    </w:pPr>
    <w:rPr>
      <w:color w:val="FF0000"/>
      <w:sz w:val="24"/>
    </w:rPr>
  </w:style>
  <w:style w:type="paragraph" w:styleId="31">
    <w:name w:val="toc 2"/>
    <w:basedOn w:val="1"/>
    <w:next w:val="1"/>
    <w:qFormat/>
    <w:uiPriority w:val="39"/>
    <w:pPr>
      <w:ind w:left="420" w:leftChars="200"/>
    </w:pPr>
  </w:style>
  <w:style w:type="paragraph" w:styleId="32">
    <w:name w:val="Body Text 2"/>
    <w:basedOn w:val="1"/>
    <w:link w:val="191"/>
    <w:semiHidden/>
    <w:qFormat/>
    <w:uiPriority w:val="0"/>
    <w:pPr>
      <w:tabs>
        <w:tab w:val="left" w:pos="6742"/>
        <w:tab w:val="left" w:pos="7234"/>
        <w:tab w:val="left" w:leader="hyphen" w:pos="8431"/>
      </w:tabs>
      <w:spacing w:before="60" w:after="60"/>
    </w:pPr>
    <w:rPr>
      <w:i/>
      <w:kern w:val="0"/>
      <w:sz w:val="24"/>
      <w:szCs w:val="20"/>
      <w:lang w:val="it-IT"/>
    </w:rPr>
  </w:style>
  <w:style w:type="paragraph" w:styleId="33">
    <w:name w:val="HTML Preformatted"/>
    <w:basedOn w:val="1"/>
    <w:link w:val="17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34">
    <w:name w:val="Normal (Web)"/>
    <w:basedOn w:val="1"/>
    <w:qFormat/>
    <w:uiPriority w:val="99"/>
    <w:pPr>
      <w:spacing w:before="100" w:beforeAutospacing="1" w:after="100" w:afterAutospacing="1"/>
    </w:pPr>
    <w:rPr>
      <w:rFonts w:ascii="Arial Unicode MS" w:hAnsi="Arial Unicode MS" w:eastAsia="Arial Unicode MS" w:cs="Arial Unicode MS"/>
      <w:color w:val="000000"/>
      <w:kern w:val="0"/>
      <w:sz w:val="24"/>
    </w:rPr>
  </w:style>
  <w:style w:type="paragraph" w:styleId="35">
    <w:name w:val="Title"/>
    <w:basedOn w:val="1"/>
    <w:link w:val="222"/>
    <w:qFormat/>
    <w:uiPriority w:val="0"/>
    <w:pPr>
      <w:tabs>
        <w:tab w:val="left" w:pos="360"/>
      </w:tabs>
      <w:spacing w:before="240" w:after="60"/>
      <w:ind w:left="360" w:hanging="360"/>
      <w:jc w:val="center"/>
      <w:outlineLvl w:val="0"/>
    </w:pPr>
    <w:rPr>
      <w:rFonts w:ascii="Arial" w:hAnsi="Arial" w:cs="Arial"/>
      <w:b/>
      <w:bCs/>
      <w:sz w:val="32"/>
      <w:szCs w:val="32"/>
    </w:rPr>
  </w:style>
  <w:style w:type="paragraph" w:styleId="36">
    <w:name w:val="annotation subject"/>
    <w:basedOn w:val="14"/>
    <w:next w:val="14"/>
    <w:link w:val="70"/>
    <w:qFormat/>
    <w:uiPriority w:val="99"/>
    <w:rPr>
      <w:b/>
      <w:bCs/>
    </w:rPr>
  </w:style>
  <w:style w:type="paragraph" w:styleId="37">
    <w:name w:val="Body Text First Indent"/>
    <w:basedOn w:val="18"/>
    <w:link w:val="193"/>
    <w:qFormat/>
    <w:uiPriority w:val="0"/>
    <w:pPr>
      <w:ind w:firstLine="420" w:firstLineChars="100"/>
    </w:pPr>
  </w:style>
  <w:style w:type="paragraph" w:styleId="38">
    <w:name w:val="Body Text First Indent 2"/>
    <w:basedOn w:val="19"/>
    <w:link w:val="80"/>
    <w:qFormat/>
    <w:uiPriority w:val="0"/>
    <w:pPr>
      <w:widowControl w:val="0"/>
      <w:autoSpaceDE/>
      <w:autoSpaceDN/>
      <w:adjustRightInd/>
      <w:spacing w:after="120" w:line="360" w:lineRule="auto"/>
      <w:ind w:left="420" w:firstLine="210"/>
      <w:jc w:val="both"/>
    </w:pPr>
    <w:rPr>
      <w:rFonts w:ascii="Times New Roman"/>
      <w:kern w:val="2"/>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20"/>
    <w:rPr>
      <w:color w:val="CC0000"/>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HTML Cite"/>
    <w:qFormat/>
    <w:uiPriority w:val="0"/>
    <w:rPr>
      <w:color w:val="008000"/>
    </w:rPr>
  </w:style>
  <w:style w:type="character" w:styleId="49">
    <w:name w:val="footnote reference"/>
    <w:qFormat/>
    <w:uiPriority w:val="0"/>
    <w:rPr>
      <w:vertAlign w:val="superscript"/>
    </w:rPr>
  </w:style>
  <w:style w:type="character" w:customStyle="1" w:styleId="50">
    <w:name w:val="标题 1 Char"/>
    <w:basedOn w:val="41"/>
    <w:link w:val="2"/>
    <w:qFormat/>
    <w:uiPriority w:val="0"/>
    <w:rPr>
      <w:rFonts w:ascii="Times New Roman" w:hAnsi="Times New Roman" w:eastAsia="楷体" w:cs="Times New Roman"/>
      <w:b/>
      <w:bCs/>
      <w:kern w:val="44"/>
      <w:sz w:val="36"/>
      <w:szCs w:val="44"/>
    </w:rPr>
  </w:style>
  <w:style w:type="character" w:customStyle="1" w:styleId="51">
    <w:name w:val="标题 2 Char2"/>
    <w:link w:val="3"/>
    <w:qFormat/>
    <w:uiPriority w:val="0"/>
    <w:rPr>
      <w:rFonts w:ascii="Arial" w:hAnsi="Arial" w:eastAsia="楷体" w:cs="Times New Roman"/>
      <w:b/>
      <w:bCs/>
      <w:sz w:val="24"/>
      <w:szCs w:val="32"/>
    </w:rPr>
  </w:style>
  <w:style w:type="character" w:customStyle="1" w:styleId="52">
    <w:name w:val="标题 3 Char1"/>
    <w:link w:val="4"/>
    <w:qFormat/>
    <w:uiPriority w:val="0"/>
    <w:rPr>
      <w:rFonts w:ascii="Times New Roman" w:hAnsi="Times New Roman" w:eastAsia="宋体" w:cs="Times New Roman"/>
      <w:b/>
      <w:sz w:val="32"/>
      <w:szCs w:val="20"/>
    </w:rPr>
  </w:style>
  <w:style w:type="character" w:customStyle="1" w:styleId="53">
    <w:name w:val="标题 4 Char1"/>
    <w:link w:val="5"/>
    <w:qFormat/>
    <w:uiPriority w:val="9"/>
    <w:rPr>
      <w:rFonts w:ascii="Arial" w:hAnsi="Arial" w:eastAsia="黑体" w:cs="Times New Roman"/>
      <w:b/>
      <w:kern w:val="0"/>
      <w:sz w:val="28"/>
      <w:szCs w:val="20"/>
    </w:rPr>
  </w:style>
  <w:style w:type="character" w:customStyle="1" w:styleId="54">
    <w:name w:val="标题 5 Char1"/>
    <w:link w:val="6"/>
    <w:qFormat/>
    <w:uiPriority w:val="0"/>
    <w:rPr>
      <w:rFonts w:ascii="Times New Roman" w:hAnsi="Times New Roman" w:eastAsia="宋体" w:cs="Times New Roman"/>
      <w:b/>
      <w:kern w:val="0"/>
      <w:sz w:val="28"/>
      <w:szCs w:val="20"/>
    </w:rPr>
  </w:style>
  <w:style w:type="character" w:customStyle="1" w:styleId="55">
    <w:name w:val="标题 6 Char1"/>
    <w:link w:val="7"/>
    <w:qFormat/>
    <w:uiPriority w:val="0"/>
    <w:rPr>
      <w:rFonts w:ascii="Arial" w:hAnsi="Arial" w:eastAsia="黑体" w:cs="Times New Roman"/>
      <w:b/>
      <w:kern w:val="0"/>
      <w:sz w:val="24"/>
      <w:szCs w:val="20"/>
    </w:rPr>
  </w:style>
  <w:style w:type="character" w:customStyle="1" w:styleId="56">
    <w:name w:val="标题 7 Char1"/>
    <w:link w:val="8"/>
    <w:qFormat/>
    <w:uiPriority w:val="0"/>
    <w:rPr>
      <w:rFonts w:ascii="Times New Roman" w:hAnsi="Times New Roman" w:eastAsia="宋体" w:cs="Times New Roman"/>
      <w:b/>
      <w:kern w:val="0"/>
      <w:sz w:val="24"/>
      <w:szCs w:val="20"/>
    </w:rPr>
  </w:style>
  <w:style w:type="character" w:customStyle="1" w:styleId="57">
    <w:name w:val="标题 8 Char1"/>
    <w:link w:val="9"/>
    <w:qFormat/>
    <w:uiPriority w:val="0"/>
    <w:rPr>
      <w:rFonts w:ascii="Arial" w:hAnsi="Arial" w:eastAsia="黑体" w:cs="Times New Roman"/>
      <w:kern w:val="0"/>
      <w:sz w:val="24"/>
      <w:szCs w:val="20"/>
    </w:rPr>
  </w:style>
  <w:style w:type="character" w:customStyle="1" w:styleId="58">
    <w:name w:val="标题 9 Char1"/>
    <w:link w:val="10"/>
    <w:qFormat/>
    <w:uiPriority w:val="0"/>
    <w:rPr>
      <w:rFonts w:ascii="Arial" w:hAnsi="Arial" w:eastAsia="黑体" w:cs="Times New Roman"/>
      <w:kern w:val="0"/>
      <w:szCs w:val="20"/>
    </w:rPr>
  </w:style>
  <w:style w:type="character" w:customStyle="1" w:styleId="59">
    <w:name w:val="页眉 Char"/>
    <w:basedOn w:val="41"/>
    <w:link w:val="27"/>
    <w:qFormat/>
    <w:uiPriority w:val="0"/>
    <w:rPr>
      <w:sz w:val="18"/>
      <w:szCs w:val="18"/>
    </w:rPr>
  </w:style>
  <w:style w:type="character" w:customStyle="1" w:styleId="60">
    <w:name w:val="页脚 Char"/>
    <w:basedOn w:val="41"/>
    <w:link w:val="26"/>
    <w:qFormat/>
    <w:uiPriority w:val="99"/>
    <w:rPr>
      <w:sz w:val="18"/>
      <w:szCs w:val="18"/>
    </w:rPr>
  </w:style>
  <w:style w:type="character" w:customStyle="1" w:styleId="61">
    <w:name w:val="标题 2 Char"/>
    <w:basedOn w:val="41"/>
    <w:qFormat/>
    <w:uiPriority w:val="9"/>
    <w:rPr>
      <w:rFonts w:asciiTheme="majorHAnsi" w:hAnsiTheme="majorHAnsi" w:eastAsiaTheme="majorEastAsia" w:cstheme="majorBidi"/>
      <w:b/>
      <w:bCs/>
      <w:sz w:val="32"/>
      <w:szCs w:val="32"/>
    </w:rPr>
  </w:style>
  <w:style w:type="character" w:customStyle="1" w:styleId="62">
    <w:name w:val="标题 3 Char"/>
    <w:basedOn w:val="41"/>
    <w:qFormat/>
    <w:uiPriority w:val="9"/>
    <w:rPr>
      <w:rFonts w:ascii="Times New Roman" w:hAnsi="Times New Roman" w:eastAsia="宋体" w:cs="Times New Roman"/>
      <w:b/>
      <w:bCs/>
      <w:sz w:val="32"/>
      <w:szCs w:val="32"/>
    </w:rPr>
  </w:style>
  <w:style w:type="character" w:customStyle="1" w:styleId="63">
    <w:name w:val="标题 4 Char"/>
    <w:basedOn w:val="41"/>
    <w:semiHidden/>
    <w:qFormat/>
    <w:uiPriority w:val="9"/>
    <w:rPr>
      <w:rFonts w:asciiTheme="majorHAnsi" w:hAnsiTheme="majorHAnsi" w:eastAsiaTheme="majorEastAsia" w:cstheme="majorBidi"/>
      <w:b/>
      <w:bCs/>
      <w:sz w:val="28"/>
      <w:szCs w:val="28"/>
    </w:rPr>
  </w:style>
  <w:style w:type="character" w:customStyle="1" w:styleId="64">
    <w:name w:val="标题 5 Char"/>
    <w:basedOn w:val="41"/>
    <w:semiHidden/>
    <w:qFormat/>
    <w:uiPriority w:val="9"/>
    <w:rPr>
      <w:rFonts w:ascii="Times New Roman" w:hAnsi="Times New Roman" w:eastAsia="宋体" w:cs="Times New Roman"/>
      <w:b/>
      <w:bCs/>
      <w:sz w:val="28"/>
      <w:szCs w:val="28"/>
    </w:rPr>
  </w:style>
  <w:style w:type="character" w:customStyle="1" w:styleId="65">
    <w:name w:val="标题 6 Char"/>
    <w:basedOn w:val="41"/>
    <w:semiHidden/>
    <w:qFormat/>
    <w:uiPriority w:val="9"/>
    <w:rPr>
      <w:rFonts w:asciiTheme="majorHAnsi" w:hAnsiTheme="majorHAnsi" w:eastAsiaTheme="majorEastAsia" w:cstheme="majorBidi"/>
      <w:b/>
      <w:bCs/>
      <w:sz w:val="24"/>
      <w:szCs w:val="24"/>
    </w:rPr>
  </w:style>
  <w:style w:type="character" w:customStyle="1" w:styleId="66">
    <w:name w:val="标题 7 Char"/>
    <w:basedOn w:val="41"/>
    <w:semiHidden/>
    <w:qFormat/>
    <w:uiPriority w:val="9"/>
    <w:rPr>
      <w:rFonts w:ascii="Times New Roman" w:hAnsi="Times New Roman" w:eastAsia="宋体" w:cs="Times New Roman"/>
      <w:b/>
      <w:bCs/>
      <w:sz w:val="24"/>
      <w:szCs w:val="24"/>
    </w:rPr>
  </w:style>
  <w:style w:type="character" w:customStyle="1" w:styleId="67">
    <w:name w:val="标题 8 Char"/>
    <w:basedOn w:val="41"/>
    <w:semiHidden/>
    <w:qFormat/>
    <w:uiPriority w:val="9"/>
    <w:rPr>
      <w:rFonts w:asciiTheme="majorHAnsi" w:hAnsiTheme="majorHAnsi" w:eastAsiaTheme="majorEastAsia" w:cstheme="majorBidi"/>
      <w:sz w:val="24"/>
      <w:szCs w:val="24"/>
    </w:rPr>
  </w:style>
  <w:style w:type="character" w:customStyle="1" w:styleId="68">
    <w:name w:val="标题 9 Char"/>
    <w:basedOn w:val="41"/>
    <w:semiHidden/>
    <w:qFormat/>
    <w:uiPriority w:val="9"/>
    <w:rPr>
      <w:rFonts w:asciiTheme="majorHAnsi" w:hAnsiTheme="majorHAnsi" w:eastAsiaTheme="majorEastAsia" w:cstheme="majorBidi"/>
      <w:szCs w:val="21"/>
    </w:rPr>
  </w:style>
  <w:style w:type="character" w:customStyle="1" w:styleId="69">
    <w:name w:val="批注文字 Char"/>
    <w:basedOn w:val="41"/>
    <w:link w:val="14"/>
    <w:qFormat/>
    <w:uiPriority w:val="99"/>
    <w:rPr>
      <w:rFonts w:ascii="Times New Roman" w:hAnsi="Times New Roman" w:eastAsia="宋体" w:cs="Times New Roman"/>
      <w:szCs w:val="24"/>
    </w:rPr>
  </w:style>
  <w:style w:type="character" w:customStyle="1" w:styleId="70">
    <w:name w:val="批注主题 Char"/>
    <w:basedOn w:val="69"/>
    <w:link w:val="36"/>
    <w:qFormat/>
    <w:uiPriority w:val="99"/>
    <w:rPr>
      <w:rFonts w:ascii="Times New Roman" w:hAnsi="Times New Roman" w:eastAsia="宋体" w:cs="Times New Roman"/>
      <w:b/>
      <w:bCs/>
      <w:szCs w:val="24"/>
    </w:rPr>
  </w:style>
  <w:style w:type="character" w:customStyle="1" w:styleId="71">
    <w:name w:val="文档结构图 Char"/>
    <w:basedOn w:val="41"/>
    <w:link w:val="13"/>
    <w:qFormat/>
    <w:uiPriority w:val="99"/>
    <w:rPr>
      <w:rFonts w:ascii="Times New Roman" w:hAnsi="Times New Roman" w:eastAsia="宋体" w:cs="Times New Roman"/>
      <w:szCs w:val="24"/>
      <w:shd w:val="clear" w:color="auto" w:fill="000080"/>
    </w:rPr>
  </w:style>
  <w:style w:type="character" w:customStyle="1" w:styleId="72">
    <w:name w:val="正文文本 Char2"/>
    <w:basedOn w:val="41"/>
    <w:link w:val="18"/>
    <w:qFormat/>
    <w:uiPriority w:val="0"/>
    <w:rPr>
      <w:rFonts w:ascii="Times New Roman" w:hAnsi="Times New Roman" w:eastAsia="宋体" w:cs="Times New Roman"/>
      <w:szCs w:val="24"/>
    </w:rPr>
  </w:style>
  <w:style w:type="character" w:customStyle="1" w:styleId="73">
    <w:name w:val="正文文本 Char"/>
    <w:basedOn w:val="41"/>
    <w:semiHidden/>
    <w:qFormat/>
    <w:uiPriority w:val="99"/>
    <w:rPr>
      <w:rFonts w:ascii="Times New Roman" w:hAnsi="Times New Roman" w:eastAsia="宋体" w:cs="Times New Roman"/>
      <w:szCs w:val="24"/>
    </w:rPr>
  </w:style>
  <w:style w:type="character" w:customStyle="1" w:styleId="74">
    <w:name w:val="正文文本缩进 Char"/>
    <w:basedOn w:val="41"/>
    <w:link w:val="19"/>
    <w:qFormat/>
    <w:uiPriority w:val="0"/>
    <w:rPr>
      <w:rFonts w:ascii="宋体" w:hAnsi="Times New Roman" w:eastAsia="宋体" w:cs="Times New Roman"/>
      <w:kern w:val="0"/>
      <w:sz w:val="24"/>
      <w:szCs w:val="20"/>
    </w:rPr>
  </w:style>
  <w:style w:type="character" w:customStyle="1" w:styleId="75">
    <w:name w:val="纯文本 Char"/>
    <w:basedOn w:val="41"/>
    <w:link w:val="22"/>
    <w:qFormat/>
    <w:uiPriority w:val="0"/>
    <w:rPr>
      <w:rFonts w:ascii="宋体" w:hAnsi="Courier New" w:eastAsia="宋体" w:cs="Times New Roman"/>
      <w:sz w:val="19"/>
      <w:szCs w:val="20"/>
    </w:rPr>
  </w:style>
  <w:style w:type="character" w:customStyle="1" w:styleId="76">
    <w:name w:val="日期 Char"/>
    <w:basedOn w:val="41"/>
    <w:link w:val="23"/>
    <w:qFormat/>
    <w:uiPriority w:val="0"/>
    <w:rPr>
      <w:rFonts w:ascii="宋体" w:hAnsi="Times New Roman" w:eastAsia="宋体" w:cs="Times New Roman"/>
      <w:kern w:val="0"/>
      <w:sz w:val="28"/>
      <w:szCs w:val="20"/>
    </w:rPr>
  </w:style>
  <w:style w:type="character" w:customStyle="1" w:styleId="77">
    <w:name w:val="正文文本缩进 2 Char1"/>
    <w:link w:val="24"/>
    <w:qFormat/>
    <w:uiPriority w:val="0"/>
    <w:rPr>
      <w:rFonts w:ascii="Times New Roman" w:hAnsi="Times New Roman" w:eastAsia="宋体" w:cs="Times New Roman"/>
      <w:sz w:val="28"/>
      <w:szCs w:val="20"/>
    </w:rPr>
  </w:style>
  <w:style w:type="character" w:customStyle="1" w:styleId="78">
    <w:name w:val="正文文本缩进 2 Char"/>
    <w:basedOn w:val="41"/>
    <w:semiHidden/>
    <w:qFormat/>
    <w:uiPriority w:val="99"/>
    <w:rPr>
      <w:rFonts w:ascii="Times New Roman" w:hAnsi="Times New Roman" w:eastAsia="宋体" w:cs="Times New Roman"/>
      <w:szCs w:val="24"/>
    </w:rPr>
  </w:style>
  <w:style w:type="character" w:customStyle="1" w:styleId="79">
    <w:name w:val="批注框文本 Char"/>
    <w:basedOn w:val="41"/>
    <w:link w:val="25"/>
    <w:qFormat/>
    <w:uiPriority w:val="99"/>
    <w:rPr>
      <w:rFonts w:ascii="Times New Roman" w:hAnsi="Times New Roman" w:eastAsia="宋体" w:cs="Times New Roman"/>
      <w:sz w:val="18"/>
      <w:szCs w:val="18"/>
    </w:rPr>
  </w:style>
  <w:style w:type="character" w:customStyle="1" w:styleId="80">
    <w:name w:val="正文首行缩进 2 Char1"/>
    <w:link w:val="38"/>
    <w:qFormat/>
    <w:uiPriority w:val="0"/>
    <w:rPr>
      <w:rFonts w:ascii="Times New Roman" w:hAnsi="Times New Roman" w:eastAsia="宋体" w:cs="Times New Roman"/>
      <w:sz w:val="24"/>
      <w:szCs w:val="20"/>
    </w:rPr>
  </w:style>
  <w:style w:type="character" w:customStyle="1" w:styleId="81">
    <w:name w:val="正文首行缩进 2 Char"/>
    <w:basedOn w:val="74"/>
    <w:semiHidden/>
    <w:qFormat/>
    <w:uiPriority w:val="99"/>
    <w:rPr>
      <w:rFonts w:ascii="宋体" w:hAnsi="Times New Roman" w:eastAsia="宋体" w:cs="Times New Roman"/>
      <w:kern w:val="0"/>
      <w:sz w:val="24"/>
      <w:szCs w:val="20"/>
    </w:rPr>
  </w:style>
  <w:style w:type="character" w:customStyle="1" w:styleId="82">
    <w:name w:val="脚注文本 Char"/>
    <w:basedOn w:val="41"/>
    <w:link w:val="29"/>
    <w:qFormat/>
    <w:uiPriority w:val="0"/>
    <w:rPr>
      <w:rFonts w:ascii="Times New Roman" w:hAnsi="Times New Roman" w:eastAsia="宋体" w:cs="Times New Roman"/>
      <w:sz w:val="18"/>
      <w:szCs w:val="18"/>
    </w:rPr>
  </w:style>
  <w:style w:type="character" w:customStyle="1" w:styleId="83">
    <w:name w:val="正文文本缩进 3 Char1"/>
    <w:link w:val="30"/>
    <w:qFormat/>
    <w:uiPriority w:val="0"/>
    <w:rPr>
      <w:rFonts w:ascii="Times New Roman" w:hAnsi="Times New Roman" w:eastAsia="宋体" w:cs="Times New Roman"/>
      <w:color w:val="FF0000"/>
      <w:sz w:val="24"/>
      <w:szCs w:val="24"/>
    </w:rPr>
  </w:style>
  <w:style w:type="character" w:customStyle="1" w:styleId="84">
    <w:name w:val="正文文本缩进 3 Char"/>
    <w:basedOn w:val="41"/>
    <w:semiHidden/>
    <w:qFormat/>
    <w:uiPriority w:val="99"/>
    <w:rPr>
      <w:rFonts w:ascii="Times New Roman" w:hAnsi="Times New Roman" w:eastAsia="宋体" w:cs="Times New Roman"/>
      <w:sz w:val="16"/>
      <w:szCs w:val="16"/>
    </w:rPr>
  </w:style>
  <w:style w:type="character" w:customStyle="1" w:styleId="85">
    <w:name w:val="ca-4"/>
    <w:basedOn w:val="41"/>
    <w:qFormat/>
    <w:uiPriority w:val="0"/>
  </w:style>
  <w:style w:type="character" w:customStyle="1" w:styleId="86">
    <w:name w:val="aa"/>
    <w:basedOn w:val="41"/>
    <w:qFormat/>
    <w:uiPriority w:val="0"/>
  </w:style>
  <w:style w:type="character" w:customStyle="1" w:styleId="87">
    <w:name w:val="ca-2"/>
    <w:basedOn w:val="41"/>
    <w:qFormat/>
    <w:uiPriority w:val="0"/>
  </w:style>
  <w:style w:type="character" w:customStyle="1" w:styleId="88">
    <w:name w:val="bu1"/>
    <w:qFormat/>
    <w:uiPriority w:val="0"/>
    <w:rPr>
      <w:sz w:val="26"/>
      <w:szCs w:val="26"/>
    </w:rPr>
  </w:style>
  <w:style w:type="paragraph" w:customStyle="1" w:styleId="89">
    <w:name w:val="xl24"/>
    <w:basedOn w:val="1"/>
    <w:qFormat/>
    <w:uiPriority w:val="0"/>
    <w:pPr>
      <w:spacing w:before="100" w:after="100"/>
      <w:jc w:val="center"/>
    </w:pPr>
    <w:rPr>
      <w:rFonts w:ascii="宋体" w:hAnsi="宋体"/>
      <w:kern w:val="0"/>
      <w:sz w:val="24"/>
      <w:szCs w:val="20"/>
    </w:rPr>
  </w:style>
  <w:style w:type="paragraph" w:customStyle="1" w:styleId="90">
    <w:name w:val="正文1"/>
    <w:basedOn w:val="1"/>
    <w:qFormat/>
    <w:uiPriority w:val="0"/>
    <w:pPr>
      <w:spacing w:line="480" w:lineRule="exact"/>
      <w:ind w:firstLine="480" w:firstLineChars="200"/>
    </w:pPr>
    <w:rPr>
      <w:rFonts w:ascii="宋体"/>
      <w:sz w:val="24"/>
      <w:szCs w:val="20"/>
    </w:rPr>
  </w:style>
  <w:style w:type="paragraph" w:customStyle="1" w:styleId="91">
    <w:name w:val="Header Base"/>
    <w:basedOn w:val="18"/>
    <w:qFormat/>
    <w:uiPriority w:val="0"/>
    <w:pPr>
      <w:keepLines/>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92">
    <w:name w:val="列出段落2"/>
    <w:basedOn w:val="1"/>
    <w:qFormat/>
    <w:uiPriority w:val="0"/>
    <w:pPr>
      <w:ind w:firstLine="420" w:firstLineChars="200"/>
    </w:pPr>
  </w:style>
  <w:style w:type="paragraph" w:customStyle="1" w:styleId="93">
    <w:name w:val="列出段落3"/>
    <w:basedOn w:val="1"/>
    <w:unhideWhenUsed/>
    <w:qFormat/>
    <w:uiPriority w:val="99"/>
    <w:pPr>
      <w:ind w:firstLine="420" w:firstLineChars="200"/>
    </w:pPr>
  </w:style>
  <w:style w:type="paragraph" w:customStyle="1" w:styleId="94">
    <w:name w:val="Char"/>
    <w:basedOn w:val="1"/>
    <w:qFormat/>
    <w:uiPriority w:val="0"/>
  </w:style>
  <w:style w:type="paragraph" w:customStyle="1" w:styleId="95">
    <w:name w:val="列出段落1"/>
    <w:basedOn w:val="1"/>
    <w:qFormat/>
    <w:uiPriority w:val="99"/>
    <w:pPr>
      <w:ind w:firstLine="420" w:firstLineChars="200"/>
    </w:pPr>
  </w:style>
  <w:style w:type="paragraph" w:customStyle="1" w:styleId="96">
    <w:name w:val="样式1"/>
    <w:basedOn w:val="1"/>
    <w:qFormat/>
    <w:uiPriority w:val="0"/>
    <w:pPr>
      <w:tabs>
        <w:tab w:val="left" w:pos="753"/>
      </w:tabs>
    </w:pPr>
    <w:rPr>
      <w:rFonts w:ascii="宋体" w:hAnsi="宋体"/>
      <w:szCs w:val="21"/>
    </w:rPr>
  </w:style>
  <w:style w:type="paragraph" w:customStyle="1" w:styleId="97">
    <w:name w:val="普通 (Web)"/>
    <w:basedOn w:val="1"/>
    <w:qFormat/>
    <w:uiPriority w:val="0"/>
    <w:pPr>
      <w:suppressAutoHyphens/>
      <w:spacing w:before="100" w:after="100"/>
    </w:pPr>
    <w:rPr>
      <w:rFonts w:ascii="Arial Unicode MS" w:hAnsi="Arial Unicode MS" w:eastAsia="Arial Unicode MS" w:cs="Courier New"/>
      <w:color w:val="000000"/>
      <w:kern w:val="1"/>
      <w:sz w:val="24"/>
      <w:szCs w:val="20"/>
      <w:lang w:eastAsia="ar-SA"/>
    </w:rPr>
  </w:style>
  <w:style w:type="paragraph" w:customStyle="1" w:styleId="98">
    <w:name w:val="Char1"/>
    <w:basedOn w:val="1"/>
    <w:qFormat/>
    <w:uiPriority w:val="0"/>
  </w:style>
  <w:style w:type="paragraph" w:customStyle="1" w:styleId="99">
    <w:name w:val="TOC 标题1"/>
    <w:basedOn w:val="2"/>
    <w:next w:val="1"/>
    <w:qFormat/>
    <w:uiPriority w:val="39"/>
    <w:pPr>
      <w:spacing w:before="480" w:line="276" w:lineRule="auto"/>
      <w:jc w:val="left"/>
      <w:outlineLvl w:val="9"/>
    </w:pPr>
    <w:rPr>
      <w:rFonts w:ascii="Cambria" w:hAnsi="Cambria" w:eastAsia="宋体"/>
      <w:color w:val="365F91"/>
      <w:kern w:val="0"/>
      <w:sz w:val="28"/>
      <w:szCs w:val="28"/>
    </w:rPr>
  </w:style>
  <w:style w:type="paragraph" w:customStyle="1" w:styleId="100">
    <w:name w:val="_Style 1"/>
    <w:basedOn w:val="1"/>
    <w:qFormat/>
    <w:uiPriority w:val="34"/>
    <w:pPr>
      <w:ind w:firstLine="420" w:firstLineChars="200"/>
    </w:pPr>
  </w:style>
  <w:style w:type="paragraph" w:customStyle="1" w:styleId="101">
    <w:name w:val="列出段落4"/>
    <w:basedOn w:val="1"/>
    <w:link w:val="102"/>
    <w:unhideWhenUsed/>
    <w:qFormat/>
    <w:uiPriority w:val="34"/>
    <w:pPr>
      <w:ind w:firstLine="420" w:firstLineChars="200"/>
    </w:pPr>
  </w:style>
  <w:style w:type="character" w:customStyle="1" w:styleId="102">
    <w:name w:val="列出段落 Char"/>
    <w:link w:val="101"/>
    <w:qFormat/>
    <w:uiPriority w:val="34"/>
    <w:rPr>
      <w:rFonts w:ascii="Times New Roman" w:hAnsi="Times New Roman" w:eastAsia="宋体" w:cs="Times New Roman"/>
      <w:szCs w:val="24"/>
    </w:rPr>
  </w:style>
  <w:style w:type="character" w:customStyle="1" w:styleId="103">
    <w:name w:val="标题 1 字符"/>
    <w:qFormat/>
    <w:uiPriority w:val="9"/>
    <w:rPr>
      <w:rFonts w:eastAsia="黑体"/>
      <w:bCs/>
      <w:kern w:val="44"/>
      <w:sz w:val="32"/>
      <w:szCs w:val="44"/>
    </w:rPr>
  </w:style>
  <w:style w:type="character" w:customStyle="1" w:styleId="104">
    <w:name w:val="页眉 字符"/>
    <w:qFormat/>
    <w:uiPriority w:val="99"/>
    <w:rPr>
      <w:sz w:val="18"/>
      <w:szCs w:val="18"/>
    </w:rPr>
  </w:style>
  <w:style w:type="character" w:customStyle="1" w:styleId="105">
    <w:name w:val="页脚 字符"/>
    <w:qFormat/>
    <w:uiPriority w:val="99"/>
    <w:rPr>
      <w:sz w:val="18"/>
      <w:szCs w:val="18"/>
    </w:rPr>
  </w:style>
  <w:style w:type="character" w:customStyle="1" w:styleId="106">
    <w:name w:val="批注文字 字符"/>
    <w:basedOn w:val="41"/>
    <w:qFormat/>
    <w:uiPriority w:val="99"/>
  </w:style>
  <w:style w:type="paragraph" w:customStyle="1" w:styleId="107">
    <w:name w:val="Char Char Char1 Char"/>
    <w:basedOn w:val="1"/>
    <w:qFormat/>
    <w:uiPriority w:val="0"/>
    <w:rPr>
      <w:rFonts w:ascii="Tahoma" w:hAnsi="Tahoma"/>
      <w:sz w:val="24"/>
      <w:szCs w:val="20"/>
    </w:rPr>
  </w:style>
  <w:style w:type="paragraph" w:customStyle="1" w:styleId="108">
    <w:name w:val="font5"/>
    <w:basedOn w:val="1"/>
    <w:qFormat/>
    <w:uiPriority w:val="0"/>
    <w:pPr>
      <w:spacing w:before="100" w:beforeAutospacing="1" w:after="100" w:afterAutospacing="1"/>
    </w:pPr>
    <w:rPr>
      <w:rFonts w:ascii="宋体" w:hAnsi="宋体" w:cs="宋体"/>
      <w:kern w:val="0"/>
      <w:sz w:val="18"/>
      <w:szCs w:val="18"/>
    </w:rPr>
  </w:style>
  <w:style w:type="paragraph" w:customStyle="1" w:styleId="109">
    <w:name w:val="font6"/>
    <w:basedOn w:val="1"/>
    <w:qFormat/>
    <w:uiPriority w:val="0"/>
    <w:pPr>
      <w:spacing w:before="100" w:beforeAutospacing="1" w:after="100" w:afterAutospacing="1"/>
    </w:pPr>
    <w:rPr>
      <w:rFonts w:ascii="宋体" w:hAnsi="宋体" w:cs="宋体"/>
      <w:kern w:val="0"/>
      <w:sz w:val="20"/>
      <w:szCs w:val="20"/>
    </w:rPr>
  </w:style>
  <w:style w:type="paragraph" w:customStyle="1" w:styleId="110">
    <w:name w:val="font8"/>
    <w:basedOn w:val="1"/>
    <w:qFormat/>
    <w:uiPriority w:val="0"/>
    <w:pPr>
      <w:spacing w:before="100" w:beforeAutospacing="1" w:after="100" w:afterAutospacing="1"/>
    </w:pPr>
    <w:rPr>
      <w:kern w:val="0"/>
      <w:sz w:val="36"/>
      <w:szCs w:val="36"/>
    </w:rPr>
  </w:style>
  <w:style w:type="paragraph" w:customStyle="1" w:styleId="11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13">
    <w:name w:val="font7"/>
    <w:basedOn w:val="1"/>
    <w:qFormat/>
    <w:uiPriority w:val="0"/>
    <w:pPr>
      <w:spacing w:before="100" w:beforeAutospacing="1" w:after="100" w:afterAutospacing="1"/>
    </w:pPr>
    <w:rPr>
      <w:rFonts w:eastAsia="Arial Unicode MS"/>
      <w:b/>
      <w:bCs/>
      <w:color w:val="000000"/>
      <w:kern w:val="0"/>
      <w:sz w:val="20"/>
      <w:szCs w:val="20"/>
    </w:rPr>
  </w:style>
  <w:style w:type="paragraph" w:customStyle="1" w:styleId="114">
    <w:name w:val="font9"/>
    <w:basedOn w:val="1"/>
    <w:qFormat/>
    <w:uiPriority w:val="0"/>
    <w:pPr>
      <w:spacing w:before="100" w:beforeAutospacing="1" w:after="100" w:afterAutospacing="1"/>
    </w:pPr>
    <w:rPr>
      <w:rFonts w:hint="eastAsia" w:ascii="宋体" w:hAnsi="宋体" w:cs="Arial Unicode MS"/>
      <w:color w:val="000000"/>
      <w:kern w:val="0"/>
      <w:sz w:val="20"/>
      <w:szCs w:val="20"/>
    </w:rPr>
  </w:style>
  <w:style w:type="paragraph" w:customStyle="1" w:styleId="11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16">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2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0"/>
      <w:szCs w:val="20"/>
    </w:rPr>
  </w:style>
  <w:style w:type="paragraph" w:customStyle="1" w:styleId="123">
    <w:name w:val="xl35"/>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4">
    <w:name w:val="xl36"/>
    <w:basedOn w:val="1"/>
    <w:qFormat/>
    <w:uiPriority w:val="0"/>
    <w:pP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6"/>
      <w:szCs w:val="16"/>
    </w:rPr>
  </w:style>
  <w:style w:type="paragraph" w:customStyle="1" w:styleId="12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9">
    <w:name w:val="xl4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xl4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32">
    <w:name w:val="xl44"/>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133">
    <w:name w:val="xl45"/>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4">
    <w:name w:val="xl46"/>
    <w:basedOn w:val="1"/>
    <w:qFormat/>
    <w:uiPriority w:val="0"/>
    <w:pPr>
      <w:pBdr>
        <w:top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5">
    <w:name w:val="xl47"/>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6">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2"/>
      <w:szCs w:val="22"/>
    </w:rPr>
  </w:style>
  <w:style w:type="paragraph" w:customStyle="1" w:styleId="138">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9">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0">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1">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character" w:customStyle="1" w:styleId="142">
    <w:name w:val="正文文本 Char1"/>
    <w:qFormat/>
    <w:uiPriority w:val="0"/>
    <w:rPr>
      <w:color w:val="FF0000"/>
      <w:kern w:val="2"/>
      <w:sz w:val="21"/>
    </w:rPr>
  </w:style>
  <w:style w:type="paragraph" w:customStyle="1" w:styleId="143">
    <w:name w:val="正文 + 宋体"/>
    <w:basedOn w:val="1"/>
    <w:qFormat/>
    <w:uiPriority w:val="0"/>
    <w:pPr>
      <w:ind w:left="360" w:hanging="360"/>
    </w:pPr>
    <w:rPr>
      <w:rFonts w:ascii="宋体" w:hAnsi="宋体" w:cs="宋体"/>
      <w:b/>
      <w:bCs/>
      <w:color w:val="000000"/>
      <w:kern w:val="0"/>
      <w:sz w:val="18"/>
      <w:szCs w:val="18"/>
    </w:rPr>
  </w:style>
  <w:style w:type="paragraph" w:customStyle="1" w:styleId="144">
    <w:name w:val="样式 标题 22nd levelh22Header 2l2第一章 标题 2Heading 2 HiddenHea..."/>
    <w:basedOn w:val="3"/>
    <w:qFormat/>
    <w:uiPriority w:val="0"/>
    <w:pPr>
      <w:tabs>
        <w:tab w:val="left" w:pos="992"/>
      </w:tabs>
      <w:adjustRightInd/>
      <w:snapToGrid/>
      <w:spacing w:before="260" w:after="260"/>
      <w:ind w:left="992" w:hanging="567"/>
      <w:jc w:val="both"/>
    </w:pPr>
    <w:rPr>
      <w:rFonts w:eastAsia="黑体" w:cs="宋体"/>
      <w:szCs w:val="24"/>
    </w:rPr>
  </w:style>
  <w:style w:type="paragraph" w:customStyle="1" w:styleId="145">
    <w:name w:val="样式 标题 22nd levelh22Header 2l2第一章 标题 2Heading 2 HiddenHea...1"/>
    <w:basedOn w:val="3"/>
    <w:qFormat/>
    <w:uiPriority w:val="0"/>
    <w:pPr>
      <w:tabs>
        <w:tab w:val="left" w:pos="992"/>
      </w:tabs>
      <w:adjustRightInd/>
      <w:snapToGrid/>
      <w:spacing w:before="260" w:after="260"/>
      <w:ind w:left="992" w:hanging="567"/>
      <w:jc w:val="both"/>
    </w:pPr>
    <w:rPr>
      <w:rFonts w:eastAsia="黑体" w:cs="宋体"/>
      <w:sz w:val="28"/>
      <w:szCs w:val="20"/>
    </w:rPr>
  </w:style>
  <w:style w:type="paragraph" w:customStyle="1" w:styleId="146">
    <w:name w:val="样式 标题 2H2UNDERRUBRIK 1-2Underrubrik1prop2Heading 2 HiddenH..."/>
    <w:basedOn w:val="3"/>
    <w:qFormat/>
    <w:uiPriority w:val="0"/>
    <w:pPr>
      <w:keepLines w:val="0"/>
      <w:tabs>
        <w:tab w:val="left" w:pos="992"/>
      </w:tabs>
      <w:adjustRightInd/>
      <w:snapToGrid/>
      <w:spacing w:before="240" w:after="240"/>
      <w:ind w:left="992" w:hanging="567"/>
      <w:jc w:val="both"/>
    </w:pPr>
    <w:rPr>
      <w:rFonts w:eastAsia="黑体"/>
      <w:b w:val="0"/>
      <w:bCs w:val="0"/>
      <w:sz w:val="30"/>
      <w:szCs w:val="24"/>
    </w:rPr>
  </w:style>
  <w:style w:type="paragraph" w:customStyle="1" w:styleId="147">
    <w:name w:val="Table Text"/>
    <w:qFormat/>
    <w:uiPriority w:val="0"/>
    <w:pPr>
      <w:snapToGrid w:val="0"/>
      <w:spacing w:before="80" w:after="80"/>
    </w:pPr>
    <w:rPr>
      <w:rFonts w:ascii="Arial" w:hAnsi="Arial" w:eastAsia="宋体" w:cs="Arial"/>
      <w:kern w:val="2"/>
      <w:sz w:val="18"/>
      <w:szCs w:val="18"/>
      <w:lang w:val="en-US" w:eastAsia="zh-CN" w:bidi="ar-SA"/>
    </w:rPr>
  </w:style>
  <w:style w:type="character" w:customStyle="1" w:styleId="148">
    <w:name w:val="Table Text Char1"/>
    <w:qFormat/>
    <w:uiPriority w:val="0"/>
    <w:rPr>
      <w:rFonts w:ascii="Arial" w:hAnsi="Arial" w:eastAsia="宋体" w:cs="Arial"/>
      <w:kern w:val="2"/>
      <w:sz w:val="18"/>
      <w:szCs w:val="18"/>
      <w:lang w:val="en-US" w:eastAsia="zh-CN" w:bidi="ar-SA"/>
    </w:rPr>
  </w:style>
  <w:style w:type="paragraph" w:customStyle="1" w:styleId="149">
    <w:name w:val="Table Text Char Char"/>
    <w:qFormat/>
    <w:uiPriority w:val="0"/>
    <w:pPr>
      <w:snapToGrid w:val="0"/>
      <w:spacing w:before="80" w:after="80"/>
    </w:pPr>
    <w:rPr>
      <w:rFonts w:ascii="Arial" w:hAnsi="Arial" w:eastAsia="宋体" w:cs="Arial"/>
      <w:kern w:val="2"/>
      <w:sz w:val="18"/>
      <w:szCs w:val="21"/>
      <w:lang w:val="en-US" w:eastAsia="zh-CN" w:bidi="ar-SA"/>
    </w:rPr>
  </w:style>
  <w:style w:type="character" w:customStyle="1" w:styleId="150">
    <w:name w:val="Table Text Char Char Char"/>
    <w:qFormat/>
    <w:uiPriority w:val="0"/>
    <w:rPr>
      <w:rFonts w:ascii="Arial" w:hAnsi="Arial" w:eastAsia="宋体" w:cs="Arial"/>
      <w:kern w:val="2"/>
      <w:sz w:val="18"/>
      <w:szCs w:val="21"/>
      <w:lang w:val="en-US" w:eastAsia="zh-CN" w:bidi="ar-SA"/>
    </w:rPr>
  </w:style>
  <w:style w:type="paragraph" w:customStyle="1" w:styleId="151">
    <w:name w:val="Table Description"/>
    <w:next w:val="1"/>
    <w:qFormat/>
    <w:uiPriority w:val="0"/>
    <w:pPr>
      <w:keepNext/>
      <w:snapToGrid w:val="0"/>
      <w:spacing w:before="160" w:after="80"/>
      <w:ind w:left="1134"/>
      <w:jc w:val="center"/>
    </w:pPr>
    <w:rPr>
      <w:rFonts w:ascii="Arial" w:hAnsi="Arial" w:eastAsia="黑体" w:cs="Arial"/>
      <w:kern w:val="2"/>
      <w:sz w:val="18"/>
      <w:szCs w:val="18"/>
      <w:lang w:val="en-US" w:eastAsia="zh-CN" w:bidi="ar-SA"/>
    </w:rPr>
  </w:style>
  <w:style w:type="paragraph" w:customStyle="1" w:styleId="15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3">
    <w:name w:val="Item List"/>
    <w:qFormat/>
    <w:uiPriority w:val="0"/>
    <w:pPr>
      <w:tabs>
        <w:tab w:val="left" w:pos="870"/>
      </w:tabs>
      <w:spacing w:line="300" w:lineRule="auto"/>
      <w:ind w:left="870" w:hanging="510"/>
      <w:jc w:val="both"/>
    </w:pPr>
    <w:rPr>
      <w:rFonts w:ascii="Arial" w:hAnsi="Arial" w:eastAsia="宋体" w:cs="Arial"/>
      <w:kern w:val="2"/>
      <w:sz w:val="21"/>
      <w:szCs w:val="21"/>
      <w:lang w:val="en-US" w:eastAsia="zh-CN" w:bidi="ar-SA"/>
    </w:rPr>
  </w:style>
  <w:style w:type="paragraph" w:customStyle="1" w:styleId="154">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55">
    <w:name w:val="默认段落字体 Para Char Char Char Char Char Char Char Char Char1"/>
    <w:basedOn w:val="1"/>
    <w:qFormat/>
    <w:uiPriority w:val="0"/>
    <w:rPr>
      <w:rFonts w:ascii="Tahoma" w:hAnsi="Tahoma"/>
      <w:sz w:val="24"/>
      <w:szCs w:val="20"/>
    </w:rPr>
  </w:style>
  <w:style w:type="paragraph" w:customStyle="1" w:styleId="156">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57">
    <w:name w:val="Char Char Char"/>
    <w:basedOn w:val="1"/>
    <w:qFormat/>
    <w:uiPriority w:val="0"/>
    <w:rPr>
      <w:rFonts w:ascii="Tahoma" w:hAnsi="Tahoma"/>
      <w:sz w:val="24"/>
      <w:szCs w:val="20"/>
    </w:rPr>
  </w:style>
  <w:style w:type="paragraph" w:customStyle="1" w:styleId="158">
    <w:name w:val="样式 标题 1 + 四号 居中 段前: 12 磅 段后: 12 磅 行距: 单倍行距"/>
    <w:basedOn w:val="2"/>
    <w:qFormat/>
    <w:uiPriority w:val="0"/>
    <w:pPr>
      <w:tabs>
        <w:tab w:val="left" w:pos="425"/>
      </w:tabs>
      <w:snapToGrid/>
      <w:spacing w:before="240" w:after="240" w:line="240" w:lineRule="auto"/>
      <w:ind w:left="425" w:hanging="425"/>
      <w:textAlignment w:val="baseline"/>
    </w:pPr>
    <w:rPr>
      <w:rFonts w:eastAsia="宋体"/>
      <w:bCs w:val="0"/>
      <w:sz w:val="28"/>
      <w:szCs w:val="20"/>
    </w:rPr>
  </w:style>
  <w:style w:type="paragraph" w:customStyle="1" w:styleId="159">
    <w:name w:val="Char1 Char Char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Char Char Char Char1"/>
    <w:basedOn w:val="1"/>
    <w:qFormat/>
    <w:uiPriority w:val="0"/>
    <w:pPr>
      <w:tabs>
        <w:tab w:val="left" w:pos="360"/>
      </w:tabs>
      <w:ind w:firstLine="420" w:firstLineChars="150"/>
    </w:pPr>
    <w:rPr>
      <w:rFonts w:ascii="Arial" w:hAnsi="Arial" w:cs="Arial"/>
      <w:sz w:val="20"/>
      <w:szCs w:val="20"/>
    </w:rPr>
  </w:style>
  <w:style w:type="paragraph" w:customStyle="1" w:styleId="162">
    <w:name w:val="样式 宋体 五号 两端对齐 行距: 单倍行距"/>
    <w:basedOn w:val="1"/>
    <w:qFormat/>
    <w:uiPriority w:val="0"/>
    <w:pPr>
      <w:adjustRightInd w:val="0"/>
      <w:textAlignment w:val="baseline"/>
    </w:pPr>
    <w:rPr>
      <w:rFonts w:ascii="宋体" w:hAnsi="宋体"/>
      <w:kern w:val="0"/>
      <w:szCs w:val="20"/>
    </w:rPr>
  </w:style>
  <w:style w:type="paragraph" w:customStyle="1" w:styleId="163">
    <w:name w:val="表格文字"/>
    <w:basedOn w:val="1"/>
    <w:qFormat/>
    <w:uiPriority w:val="0"/>
    <w:pPr>
      <w:spacing w:beforeLines="5" w:afterLines="5" w:line="200" w:lineRule="atLeast"/>
      <w:ind w:left="10" w:leftChars="10"/>
    </w:pPr>
    <w:rPr>
      <w:rFonts w:ascii="宋体" w:hAnsi="宋体"/>
      <w:color w:val="000000"/>
      <w:sz w:val="20"/>
      <w:szCs w:val="20"/>
    </w:rPr>
  </w:style>
  <w:style w:type="paragraph" w:customStyle="1" w:styleId="164">
    <w:name w:val="缺省文本"/>
    <w:basedOn w:val="1"/>
    <w:qFormat/>
    <w:uiPriority w:val="0"/>
    <w:pPr>
      <w:autoSpaceDE w:val="0"/>
      <w:autoSpaceDN w:val="0"/>
      <w:adjustRightInd w:val="0"/>
    </w:pPr>
    <w:rPr>
      <w:kern w:val="0"/>
      <w:sz w:val="24"/>
    </w:rPr>
  </w:style>
  <w:style w:type="paragraph" w:customStyle="1" w:styleId="165">
    <w:name w:val="缩进项目"/>
    <w:basedOn w:val="1"/>
    <w:qFormat/>
    <w:uiPriority w:val="0"/>
    <w:pPr>
      <w:tabs>
        <w:tab w:val="left" w:pos="425"/>
        <w:tab w:val="left" w:pos="1924"/>
      </w:tabs>
      <w:spacing w:line="400" w:lineRule="exact"/>
      <w:ind w:left="1924" w:hanging="425"/>
      <w:outlineLvl w:val="0"/>
    </w:pPr>
    <w:rPr>
      <w:rFonts w:ascii="宋体"/>
      <w:color w:val="0000FF"/>
      <w:kern w:val="0"/>
      <w:sz w:val="24"/>
      <w:szCs w:val="20"/>
    </w:rPr>
  </w:style>
  <w:style w:type="paragraph" w:customStyle="1" w:styleId="166">
    <w:name w:val="一级条标题"/>
    <w:basedOn w:val="167"/>
    <w:next w:val="168"/>
    <w:qFormat/>
    <w:uiPriority w:val="0"/>
    <w:pPr>
      <w:tabs>
        <w:tab w:val="left" w:pos="486"/>
        <w:tab w:val="left" w:pos="992"/>
      </w:tabs>
      <w:spacing w:before="0" w:after="0" w:line="240" w:lineRule="auto"/>
      <w:ind w:left="486" w:hanging="420"/>
      <w:outlineLvl w:val="2"/>
    </w:pPr>
  </w:style>
  <w:style w:type="paragraph" w:customStyle="1" w:styleId="167">
    <w:name w:val="章标题"/>
    <w:next w:val="1"/>
    <w:qFormat/>
    <w:uiPriority w:val="0"/>
    <w:pPr>
      <w:tabs>
        <w:tab w:val="left" w:pos="992"/>
      </w:tabs>
      <w:spacing w:before="50" w:after="50" w:line="360" w:lineRule="auto"/>
      <w:ind w:left="992" w:hanging="567"/>
      <w:jc w:val="both"/>
      <w:outlineLvl w:val="1"/>
    </w:pPr>
    <w:rPr>
      <w:rFonts w:ascii="黑体" w:hAnsi="Times New Roman" w:eastAsia="黑体" w:cs="Times New Roman"/>
      <w:sz w:val="21"/>
      <w:lang w:val="en-US" w:eastAsia="zh-CN" w:bidi="ar-SA"/>
    </w:rPr>
  </w:style>
  <w:style w:type="paragraph" w:customStyle="1" w:styleId="168">
    <w:name w:val="段"/>
    <w:next w:val="1"/>
    <w:qFormat/>
    <w:uiPriority w:val="0"/>
    <w:pPr>
      <w:tabs>
        <w:tab w:val="left" w:pos="1395"/>
      </w:tabs>
      <w:autoSpaceDE w:val="0"/>
      <w:autoSpaceDN w:val="0"/>
      <w:ind w:firstLine="425"/>
      <w:jc w:val="both"/>
    </w:pPr>
    <w:rPr>
      <w:rFonts w:ascii="宋体" w:hAnsi="Times New Roman" w:eastAsia="宋体" w:cs="Times New Roman"/>
      <w:sz w:val="21"/>
      <w:lang w:val="en-US" w:eastAsia="zh-CN" w:bidi="ar-SA"/>
    </w:rPr>
  </w:style>
  <w:style w:type="character" w:customStyle="1" w:styleId="169">
    <w:name w:val="称呼 Char1"/>
    <w:link w:val="15"/>
    <w:qFormat/>
    <w:uiPriority w:val="0"/>
    <w:rPr>
      <w:rFonts w:ascii="Times New Roman" w:hAnsi="Times New Roman" w:eastAsia="宋体" w:cs="Times New Roman"/>
      <w:szCs w:val="20"/>
    </w:rPr>
  </w:style>
  <w:style w:type="character" w:customStyle="1" w:styleId="170">
    <w:name w:val="称呼 Char"/>
    <w:basedOn w:val="41"/>
    <w:qFormat/>
    <w:uiPriority w:val="99"/>
    <w:rPr>
      <w:rFonts w:ascii="Times New Roman" w:hAnsi="Times New Roman" w:eastAsia="宋体" w:cs="Times New Roman"/>
      <w:szCs w:val="24"/>
    </w:rPr>
  </w:style>
  <w:style w:type="paragraph" w:customStyle="1" w:styleId="171">
    <w:name w:val="NICMAN Body Text"/>
    <w:basedOn w:val="1"/>
    <w:next w:val="18"/>
    <w:qFormat/>
    <w:uiPriority w:val="0"/>
    <w:pPr>
      <w:spacing w:after="120" w:line="400" w:lineRule="exact"/>
      <w:ind w:firstLine="454"/>
    </w:pPr>
    <w:rPr>
      <w:sz w:val="24"/>
      <w:szCs w:val="20"/>
    </w:rPr>
  </w:style>
  <w:style w:type="character" w:customStyle="1" w:styleId="172">
    <w:name w:val="纯文本 Char1"/>
    <w:qFormat/>
    <w:uiPriority w:val="0"/>
    <w:rPr>
      <w:rFonts w:ascii="宋体" w:hAnsi="Courier New" w:cs="Courier New"/>
      <w:kern w:val="2"/>
      <w:sz w:val="21"/>
      <w:szCs w:val="21"/>
    </w:rPr>
  </w:style>
  <w:style w:type="paragraph" w:customStyle="1" w:styleId="173">
    <w:name w:val="正文首行缩进:  2 字符"/>
    <w:basedOn w:val="1"/>
    <w:qFormat/>
    <w:uiPriority w:val="0"/>
    <w:pPr>
      <w:spacing w:line="360" w:lineRule="auto"/>
      <w:ind w:firstLine="482" w:firstLineChars="200"/>
    </w:pPr>
    <w:rPr>
      <w:rFonts w:ascii="Arial" w:hAnsi="Arial" w:cs="宋体"/>
      <w:kern w:val="0"/>
      <w:sz w:val="24"/>
      <w:szCs w:val="20"/>
    </w:rPr>
  </w:style>
  <w:style w:type="paragraph" w:customStyle="1" w:styleId="174">
    <w:name w:val="Char Char Char Char"/>
    <w:basedOn w:val="1"/>
    <w:qFormat/>
    <w:uiPriority w:val="0"/>
    <w:rPr>
      <w:rFonts w:ascii="Tahoma" w:hAnsi="Tahoma"/>
      <w:sz w:val="24"/>
      <w:szCs w:val="20"/>
    </w:rPr>
  </w:style>
  <w:style w:type="paragraph" w:customStyle="1" w:styleId="175">
    <w:name w:val="正文首行缩进两字符 Char Char"/>
    <w:basedOn w:val="1"/>
    <w:qFormat/>
    <w:uiPriority w:val="0"/>
    <w:pPr>
      <w:spacing w:line="360" w:lineRule="auto"/>
      <w:ind w:firstLine="200" w:firstLineChars="200"/>
    </w:pPr>
    <w:rPr>
      <w:sz w:val="24"/>
    </w:rPr>
  </w:style>
  <w:style w:type="paragraph" w:customStyle="1" w:styleId="176">
    <w:name w:val="123"/>
    <w:basedOn w:val="1"/>
    <w:qFormat/>
    <w:uiPriority w:val="0"/>
    <w:pPr>
      <w:spacing w:before="120"/>
      <w:ind w:firstLine="425"/>
    </w:pPr>
    <w:rPr>
      <w:szCs w:val="20"/>
    </w:rPr>
  </w:style>
  <w:style w:type="paragraph" w:customStyle="1" w:styleId="177">
    <w:name w:val="Char1 Char Char Char"/>
    <w:basedOn w:val="1"/>
    <w:qFormat/>
    <w:uiPriority w:val="0"/>
    <w:rPr>
      <w:rFonts w:ascii="Tahoma" w:hAnsi="Tahoma"/>
      <w:sz w:val="24"/>
      <w:szCs w:val="20"/>
    </w:rPr>
  </w:style>
  <w:style w:type="paragraph" w:customStyle="1" w:styleId="178">
    <w:name w:val="大标题"/>
    <w:basedOn w:val="1"/>
    <w:qFormat/>
    <w:uiPriority w:val="0"/>
    <w:pPr>
      <w:spacing w:line="600" w:lineRule="exact"/>
      <w:ind w:left="340" w:right="340"/>
      <w:jc w:val="center"/>
    </w:pPr>
    <w:rPr>
      <w:sz w:val="44"/>
      <w:szCs w:val="20"/>
    </w:rPr>
  </w:style>
  <w:style w:type="character" w:customStyle="1" w:styleId="179">
    <w:name w:val="HTML 预设格式 Char1"/>
    <w:link w:val="33"/>
    <w:qFormat/>
    <w:uiPriority w:val="0"/>
    <w:rPr>
      <w:rFonts w:ascii="宋体" w:hAnsi="宋体" w:eastAsia="宋体" w:cs="宋体"/>
      <w:kern w:val="0"/>
      <w:sz w:val="24"/>
      <w:szCs w:val="24"/>
    </w:rPr>
  </w:style>
  <w:style w:type="character" w:customStyle="1" w:styleId="180">
    <w:name w:val="HTML 预设格式 Char"/>
    <w:basedOn w:val="41"/>
    <w:semiHidden/>
    <w:qFormat/>
    <w:uiPriority w:val="99"/>
    <w:rPr>
      <w:rFonts w:ascii="Courier New" w:hAnsi="Courier New" w:eastAsia="宋体" w:cs="Courier New"/>
      <w:sz w:val="20"/>
      <w:szCs w:val="20"/>
    </w:rPr>
  </w:style>
  <w:style w:type="paragraph" w:customStyle="1" w:styleId="181">
    <w:name w:val="表格文字（大）"/>
    <w:basedOn w:val="1"/>
    <w:qFormat/>
    <w:uiPriority w:val="0"/>
    <w:pPr>
      <w:spacing w:before="20" w:after="20"/>
    </w:pPr>
    <w:rPr>
      <w:rFonts w:ascii="Century Gothic" w:hAnsi="Century Gothic"/>
      <w:sz w:val="24"/>
      <w:szCs w:val="20"/>
    </w:rPr>
  </w:style>
  <w:style w:type="paragraph" w:customStyle="1" w:styleId="182">
    <w:name w:val="Item List in Table"/>
    <w:basedOn w:val="1"/>
    <w:qFormat/>
    <w:uiPriority w:val="0"/>
    <w:pPr>
      <w:tabs>
        <w:tab w:val="left" w:pos="420"/>
      </w:tabs>
      <w:ind w:left="420" w:hanging="420"/>
    </w:pPr>
  </w:style>
  <w:style w:type="paragraph" w:customStyle="1" w:styleId="183">
    <w:name w:val="Char Char Char Char Char Char Char Char Char Char"/>
    <w:basedOn w:val="1"/>
    <w:qFormat/>
    <w:uiPriority w:val="0"/>
    <w:pPr>
      <w:tabs>
        <w:tab w:val="left" w:pos="360"/>
      </w:tabs>
      <w:ind w:left="360" w:hanging="360" w:hangingChars="200"/>
    </w:pPr>
    <w:rPr>
      <w:sz w:val="24"/>
    </w:rPr>
  </w:style>
  <w:style w:type="paragraph" w:customStyle="1" w:styleId="184">
    <w:name w:val="样式4"/>
    <w:basedOn w:val="1"/>
    <w:qFormat/>
    <w:uiPriority w:val="0"/>
    <w:pPr>
      <w:jc w:val="center"/>
      <w:outlineLvl w:val="0"/>
    </w:pPr>
    <w:rPr>
      <w:b/>
      <w:sz w:val="32"/>
      <w:szCs w:val="20"/>
    </w:rPr>
  </w:style>
  <w:style w:type="character" w:customStyle="1" w:styleId="185">
    <w:name w:val="h31"/>
    <w:qFormat/>
    <w:uiPriority w:val="0"/>
    <w:rPr>
      <w:spacing w:val="330"/>
      <w:sz w:val="21"/>
      <w:szCs w:val="21"/>
    </w:rPr>
  </w:style>
  <w:style w:type="paragraph" w:customStyle="1" w:styleId="186">
    <w:name w:val="Titel 2"/>
    <w:basedOn w:val="1"/>
    <w:qFormat/>
    <w:uiPriority w:val="0"/>
    <w:pPr>
      <w:tabs>
        <w:tab w:val="decimal" w:leader="underscore" w:pos="8504"/>
        <w:tab w:val="right" w:pos="9923"/>
      </w:tabs>
      <w:autoSpaceDE w:val="0"/>
      <w:autoSpaceDN w:val="0"/>
    </w:pPr>
    <w:rPr>
      <w:rFonts w:ascii="Helvetica-Black" w:hAnsi="Helvetica-Black"/>
      <w:b/>
      <w:bCs/>
      <w:kern w:val="0"/>
      <w:sz w:val="28"/>
      <w:szCs w:val="28"/>
      <w:lang w:eastAsia="en-US"/>
    </w:rPr>
  </w:style>
  <w:style w:type="character" w:customStyle="1" w:styleId="187">
    <w:name w:val="tpc_content1"/>
    <w:qFormat/>
    <w:uiPriority w:val="0"/>
    <w:rPr>
      <w:sz w:val="15"/>
      <w:szCs w:val="15"/>
    </w:rPr>
  </w:style>
  <w:style w:type="character" w:customStyle="1" w:styleId="188">
    <w:name w:val="blacksmm"/>
    <w:qFormat/>
    <w:uiPriority w:val="0"/>
  </w:style>
  <w:style w:type="character" w:customStyle="1" w:styleId="189">
    <w:name w:val="blacksm"/>
    <w:qFormat/>
    <w:uiPriority w:val="0"/>
  </w:style>
  <w:style w:type="paragraph" w:customStyle="1" w:styleId="190">
    <w:name w:val="标题X.1.1"/>
    <w:basedOn w:val="1"/>
    <w:next w:val="18"/>
    <w:qFormat/>
    <w:uiPriority w:val="0"/>
    <w:pPr>
      <w:tabs>
        <w:tab w:val="left" w:pos="540"/>
        <w:tab w:val="left" w:pos="5985"/>
      </w:tabs>
      <w:spacing w:beforeLines="150" w:line="400" w:lineRule="exact"/>
      <w:outlineLvl w:val="2"/>
    </w:pPr>
    <w:rPr>
      <w:rFonts w:ascii="宋体" w:hAnsi="宋体"/>
      <w:b/>
      <w:sz w:val="30"/>
      <w:szCs w:val="30"/>
    </w:rPr>
  </w:style>
  <w:style w:type="character" w:customStyle="1" w:styleId="191">
    <w:name w:val="正文文本 2 Char1"/>
    <w:link w:val="32"/>
    <w:semiHidden/>
    <w:qFormat/>
    <w:uiPriority w:val="0"/>
    <w:rPr>
      <w:rFonts w:ascii="Times New Roman" w:hAnsi="Times New Roman" w:eastAsia="宋体" w:cs="Times New Roman"/>
      <w:i/>
      <w:kern w:val="0"/>
      <w:sz w:val="24"/>
      <w:szCs w:val="20"/>
      <w:lang w:val="it-IT"/>
    </w:rPr>
  </w:style>
  <w:style w:type="character" w:customStyle="1" w:styleId="192">
    <w:name w:val="正文文本 2 Char"/>
    <w:basedOn w:val="41"/>
    <w:semiHidden/>
    <w:qFormat/>
    <w:uiPriority w:val="99"/>
    <w:rPr>
      <w:rFonts w:ascii="Times New Roman" w:hAnsi="Times New Roman" w:eastAsia="宋体" w:cs="Times New Roman"/>
      <w:szCs w:val="24"/>
    </w:rPr>
  </w:style>
  <w:style w:type="character" w:customStyle="1" w:styleId="193">
    <w:name w:val="正文首行缩进 Char1"/>
    <w:link w:val="37"/>
    <w:qFormat/>
    <w:uiPriority w:val="0"/>
    <w:rPr>
      <w:rFonts w:ascii="Times New Roman" w:hAnsi="Times New Roman" w:eastAsia="宋体" w:cs="Times New Roman"/>
      <w:szCs w:val="24"/>
    </w:rPr>
  </w:style>
  <w:style w:type="character" w:customStyle="1" w:styleId="194">
    <w:name w:val="正文首行缩进 Char"/>
    <w:basedOn w:val="73"/>
    <w:qFormat/>
    <w:uiPriority w:val="99"/>
    <w:rPr>
      <w:rFonts w:ascii="Times New Roman" w:hAnsi="Times New Roman" w:eastAsia="宋体" w:cs="Times New Roman"/>
      <w:szCs w:val="24"/>
    </w:rPr>
  </w:style>
  <w:style w:type="character" w:customStyle="1" w:styleId="195">
    <w:name w:val="navhead1"/>
    <w:qFormat/>
    <w:uiPriority w:val="0"/>
    <w:rPr>
      <w:rFonts w:hint="default" w:ascii="Verdana" w:hAnsi="Verdana"/>
      <w:b/>
      <w:bCs/>
      <w:color w:val="000066"/>
      <w:sz w:val="22"/>
      <w:szCs w:val="22"/>
      <w:u w:val="none"/>
      <w:shd w:val="clear" w:color="auto" w:fill="FFFFFF"/>
    </w:rPr>
  </w:style>
  <w:style w:type="character" w:customStyle="1" w:styleId="196">
    <w:name w:val="boldheader1"/>
    <w:qFormat/>
    <w:uiPriority w:val="0"/>
    <w:rPr>
      <w:rFonts w:hint="default" w:ascii="Verdana" w:hAnsi="Verdana"/>
      <w:b/>
      <w:bCs/>
      <w:color w:val="000066"/>
      <w:sz w:val="22"/>
      <w:szCs w:val="22"/>
      <w:u w:val="none"/>
    </w:rPr>
  </w:style>
  <w:style w:type="character" w:customStyle="1" w:styleId="197">
    <w:name w:val="style11"/>
    <w:qFormat/>
    <w:uiPriority w:val="0"/>
    <w:rPr>
      <w:b/>
      <w:bCs/>
      <w:color w:val="669900"/>
    </w:rPr>
  </w:style>
  <w:style w:type="paragraph" w:customStyle="1" w:styleId="198">
    <w:name w:val="SecC"/>
    <w:qFormat/>
    <w:uiPriority w:val="0"/>
    <w:pPr>
      <w:tabs>
        <w:tab w:val="left" w:pos="1701"/>
        <w:tab w:val="left" w:pos="2126"/>
        <w:tab w:val="left" w:pos="2552"/>
        <w:tab w:val="left" w:pos="3969"/>
        <w:tab w:val="left" w:pos="5670"/>
        <w:tab w:val="right" w:pos="7938"/>
      </w:tabs>
      <w:ind w:left="1701" w:hanging="1701"/>
      <w:jc w:val="both"/>
    </w:pPr>
    <w:rPr>
      <w:rFonts w:ascii="Frutiger 55 Roman" w:hAnsi="Frutiger 55 Roman" w:eastAsia="宋体" w:cs="Times New Roman"/>
      <w:sz w:val="22"/>
      <w:lang w:val="en-GB" w:eastAsia="zh-CN" w:bidi="ar-SA"/>
    </w:rPr>
  </w:style>
  <w:style w:type="paragraph" w:customStyle="1" w:styleId="199">
    <w:name w:val="Char Char Char Char Char Char Char Char Char Char1"/>
    <w:basedOn w:val="1"/>
    <w:qFormat/>
    <w:uiPriority w:val="0"/>
    <w:pPr>
      <w:tabs>
        <w:tab w:val="left" w:pos="360"/>
      </w:tabs>
      <w:ind w:left="360" w:hanging="360" w:hangingChars="200"/>
    </w:pPr>
    <w:rPr>
      <w:sz w:val="24"/>
    </w:rPr>
  </w:style>
  <w:style w:type="character" w:customStyle="1" w:styleId="200">
    <w:name w:val="parameter"/>
    <w:qFormat/>
    <w:uiPriority w:val="0"/>
  </w:style>
  <w:style w:type="character" w:customStyle="1" w:styleId="201">
    <w:name w:val="style1"/>
    <w:qFormat/>
    <w:uiPriority w:val="0"/>
  </w:style>
  <w:style w:type="character" w:customStyle="1" w:styleId="202">
    <w:name w:val="lh15 s"/>
    <w:qFormat/>
    <w:uiPriority w:val="0"/>
  </w:style>
  <w:style w:type="paragraph" w:customStyle="1" w:styleId="203">
    <w:name w:val="Char Char Char Char Char Char1 Char"/>
    <w:basedOn w:val="1"/>
    <w:qFormat/>
    <w:uiPriority w:val="0"/>
    <w:pPr>
      <w:spacing w:after="160" w:line="240" w:lineRule="exact"/>
    </w:pPr>
    <w:rPr>
      <w:rFonts w:ascii="Verdana" w:hAnsi="Verdana"/>
      <w:kern w:val="0"/>
      <w:szCs w:val="20"/>
      <w:lang w:eastAsia="en-US"/>
    </w:rPr>
  </w:style>
  <w:style w:type="paragraph" w:customStyle="1" w:styleId="204">
    <w:name w:val=".."/>
    <w:basedOn w:val="160"/>
    <w:next w:val="160"/>
    <w:qFormat/>
    <w:uiPriority w:val="0"/>
    <w:rPr>
      <w:rFonts w:cs="Times New Roman"/>
      <w:color w:val="auto"/>
    </w:rPr>
  </w:style>
  <w:style w:type="paragraph" w:customStyle="1" w:styleId="205">
    <w:name w:val="标题3"/>
    <w:basedOn w:val="4"/>
    <w:qFormat/>
    <w:uiPriority w:val="0"/>
    <w:pPr>
      <w:spacing w:line="416" w:lineRule="auto"/>
    </w:pPr>
    <w:rPr>
      <w:rFonts w:ascii="宋体" w:hAnsi="宋体"/>
      <w:bCs/>
      <w:sz w:val="28"/>
      <w:szCs w:val="28"/>
    </w:rPr>
  </w:style>
  <w:style w:type="character" w:customStyle="1" w:styleId="206">
    <w:name w:val="t31"/>
    <w:qFormat/>
    <w:uiPriority w:val="0"/>
    <w:rPr>
      <w:color w:val="000000"/>
      <w:sz w:val="21"/>
      <w:szCs w:val="21"/>
      <w:u w:val="none"/>
    </w:rPr>
  </w:style>
  <w:style w:type="paragraph" w:customStyle="1" w:styleId="207">
    <w:name w:val="Char1 Char Char Char1"/>
    <w:basedOn w:val="1"/>
    <w:qFormat/>
    <w:uiPriority w:val="0"/>
    <w:rPr>
      <w:rFonts w:ascii="Tahoma" w:hAnsi="Tahoma"/>
      <w:sz w:val="24"/>
      <w:szCs w:val="20"/>
    </w:rPr>
  </w:style>
  <w:style w:type="character" w:customStyle="1" w:styleId="208">
    <w:name w:val="tit1"/>
    <w:qFormat/>
    <w:uiPriority w:val="0"/>
    <w:rPr>
      <w:rFonts w:hint="default" w:ascii="Arial" w:hAnsi="Arial" w:eastAsia="黑体" w:cs="Arial"/>
      <w:b/>
      <w:bCs/>
      <w:color w:val="000000"/>
      <w:sz w:val="21"/>
      <w:szCs w:val="21"/>
    </w:rPr>
  </w:style>
  <w:style w:type="character" w:customStyle="1" w:styleId="209">
    <w:name w:val="11pt"/>
    <w:qFormat/>
    <w:uiPriority w:val="0"/>
  </w:style>
  <w:style w:type="paragraph" w:customStyle="1" w:styleId="210">
    <w:name w:val="Char Char Char Char2"/>
    <w:basedOn w:val="1"/>
    <w:qFormat/>
    <w:uiPriority w:val="0"/>
    <w:pPr>
      <w:tabs>
        <w:tab w:val="left" w:pos="360"/>
      </w:tabs>
      <w:ind w:firstLine="420" w:firstLineChars="150"/>
    </w:pPr>
    <w:rPr>
      <w:rFonts w:ascii="Arial" w:hAnsi="Arial" w:cs="Arial"/>
      <w:sz w:val="20"/>
      <w:szCs w:val="20"/>
    </w:rPr>
  </w:style>
  <w:style w:type="paragraph" w:customStyle="1" w:styleId="211">
    <w:name w:val="Char Char1 Char Char Char Char Char Char"/>
    <w:basedOn w:val="1"/>
    <w:qFormat/>
    <w:uiPriority w:val="0"/>
    <w:pPr>
      <w:spacing w:after="160" w:line="240" w:lineRule="exact"/>
    </w:pPr>
    <w:rPr>
      <w:rFonts w:ascii="Verdana" w:hAnsi="Verdana" w:eastAsia="仿宋_GB2312"/>
      <w:spacing w:val="-4"/>
      <w:kern w:val="0"/>
      <w:position w:val="-8"/>
      <w:sz w:val="24"/>
      <w:szCs w:val="20"/>
      <w:lang w:eastAsia="en-US"/>
    </w:rPr>
  </w:style>
  <w:style w:type="character" w:customStyle="1" w:styleId="212">
    <w:name w:val="text_line_height_201"/>
    <w:qFormat/>
    <w:uiPriority w:val="0"/>
  </w:style>
  <w:style w:type="paragraph" w:customStyle="1" w:styleId="213">
    <w:name w:val="Char Char Char Char Char Char Char Char Char Char Char Char Char Char Char Char"/>
    <w:basedOn w:val="1"/>
    <w:qFormat/>
    <w:uiPriority w:val="0"/>
    <w:pPr>
      <w:tabs>
        <w:tab w:val="left" w:pos="360"/>
      </w:tabs>
    </w:pPr>
    <w:rPr>
      <w:sz w:val="24"/>
    </w:rPr>
  </w:style>
  <w:style w:type="paragraph" w:customStyle="1" w:styleId="214">
    <w:name w:val="Char Char1"/>
    <w:basedOn w:val="13"/>
    <w:qFormat/>
    <w:uiPriority w:val="0"/>
    <w:rPr>
      <w:rFonts w:ascii="Tahoma" w:hAnsi="Tahoma"/>
      <w:sz w:val="24"/>
    </w:rPr>
  </w:style>
  <w:style w:type="character" w:customStyle="1" w:styleId="215">
    <w:name w:val="普通文字 Char Char"/>
    <w:qFormat/>
    <w:uiPriority w:val="0"/>
    <w:rPr>
      <w:rFonts w:ascii="宋体" w:hAnsi="Courier New" w:eastAsia="宋体" w:cs="Courier New"/>
      <w:kern w:val="2"/>
      <w:sz w:val="21"/>
      <w:szCs w:val="21"/>
      <w:lang w:val="en-US" w:eastAsia="zh-CN" w:bidi="ar-SA"/>
    </w:rPr>
  </w:style>
  <w:style w:type="paragraph" w:customStyle="1" w:styleId="216">
    <w:name w:val="Char1 Char Char"/>
    <w:basedOn w:val="1"/>
    <w:qFormat/>
    <w:uiPriority w:val="0"/>
    <w:pPr>
      <w:spacing w:after="160" w:line="240" w:lineRule="exact"/>
    </w:pPr>
    <w:rPr>
      <w:rFonts w:ascii="Arial" w:hAnsi="Arial" w:eastAsia="Times New Roman" w:cs="Verdana"/>
      <w:b/>
      <w:kern w:val="0"/>
      <w:sz w:val="24"/>
      <w:lang w:eastAsia="en-US"/>
    </w:rPr>
  </w:style>
  <w:style w:type="paragraph" w:customStyle="1" w:styleId="217">
    <w:name w:val="字元 字元"/>
    <w:basedOn w:val="1"/>
    <w:qFormat/>
    <w:uiPriority w:val="0"/>
    <w:rPr>
      <w:szCs w:val="20"/>
    </w:rPr>
  </w:style>
  <w:style w:type="paragraph" w:customStyle="1" w:styleId="218">
    <w:name w:val="090909"/>
    <w:basedOn w:val="1"/>
    <w:qFormat/>
    <w:uiPriority w:val="0"/>
    <w:pPr>
      <w:ind w:firstLine="200" w:firstLineChars="200"/>
      <w:outlineLvl w:val="0"/>
    </w:pPr>
    <w:rPr>
      <w:szCs w:val="20"/>
    </w:rPr>
  </w:style>
  <w:style w:type="paragraph" w:customStyle="1" w:styleId="219">
    <w:name w:val="Char Char Char1"/>
    <w:basedOn w:val="1"/>
    <w:qFormat/>
    <w:uiPriority w:val="0"/>
    <w:rPr>
      <w:rFonts w:ascii="Tahoma" w:hAnsi="Tahoma"/>
      <w:sz w:val="24"/>
      <w:szCs w:val="20"/>
    </w:rPr>
  </w:style>
  <w:style w:type="character" w:customStyle="1" w:styleId="220">
    <w:name w:val="纯文本 字符"/>
    <w:qFormat/>
    <w:uiPriority w:val="0"/>
    <w:rPr>
      <w:rFonts w:ascii="宋体" w:hAnsi="Courier New"/>
    </w:rPr>
  </w:style>
  <w:style w:type="character" w:customStyle="1" w:styleId="221">
    <w:name w:val="emtidy-1"/>
    <w:qFormat/>
    <w:uiPriority w:val="0"/>
  </w:style>
  <w:style w:type="character" w:customStyle="1" w:styleId="222">
    <w:name w:val="标题 Char"/>
    <w:basedOn w:val="41"/>
    <w:link w:val="35"/>
    <w:qFormat/>
    <w:uiPriority w:val="0"/>
    <w:rPr>
      <w:rFonts w:ascii="Arial" w:hAnsi="Arial" w:eastAsia="宋体" w:cs="Arial"/>
      <w:b/>
      <w:bCs/>
      <w:sz w:val="32"/>
      <w:szCs w:val="32"/>
    </w:rPr>
  </w:style>
  <w:style w:type="paragraph" w:customStyle="1" w:styleId="223">
    <w:name w:val="p0"/>
    <w:basedOn w:val="1"/>
    <w:qFormat/>
    <w:uiPriority w:val="0"/>
    <w:rPr>
      <w:rFonts w:ascii="Calibri" w:hAnsi="Calibri"/>
      <w:kern w:val="0"/>
      <w:szCs w:val="21"/>
    </w:rPr>
  </w:style>
  <w:style w:type="paragraph" w:customStyle="1" w:styleId="22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2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2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7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74"/>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34">
    <w:name w:val="xl7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76"/>
    <w:basedOn w:val="1"/>
    <w:qFormat/>
    <w:uiPriority w:val="0"/>
    <w:pPr>
      <w:pBdr>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6">
    <w:name w:val="xl77"/>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7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8">
    <w:name w:val="xl79"/>
    <w:basedOn w:val="1"/>
    <w:qFormat/>
    <w:uiPriority w:val="0"/>
    <w:pPr>
      <w:pBdr>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9">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0">
    <w:name w:val="xl81"/>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1">
    <w:name w:val="xl8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2">
    <w:name w:val="xl8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3">
    <w:name w:val="xl84"/>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4">
    <w:name w:val="xl85"/>
    <w:basedOn w:val="1"/>
    <w:qFormat/>
    <w:uiPriority w:val="0"/>
    <w:pPr>
      <w:spacing w:before="100" w:beforeAutospacing="1" w:after="100" w:afterAutospacing="1"/>
      <w:jc w:val="center"/>
    </w:pPr>
    <w:rPr>
      <w:rFonts w:ascii="宋体" w:hAnsi="宋体" w:cs="宋体"/>
      <w:kern w:val="0"/>
      <w:sz w:val="20"/>
      <w:szCs w:val="20"/>
    </w:rPr>
  </w:style>
  <w:style w:type="paragraph" w:customStyle="1" w:styleId="245">
    <w:name w:val="xl86"/>
    <w:basedOn w:val="1"/>
    <w:qFormat/>
    <w:uiPriority w:val="0"/>
    <w:pPr>
      <w:pBdr>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6">
    <w:name w:val="xl87"/>
    <w:basedOn w:val="1"/>
    <w:qFormat/>
    <w:uiPriority w:val="0"/>
    <w:pPr>
      <w:spacing w:before="100" w:beforeAutospacing="1" w:after="100" w:afterAutospacing="1"/>
      <w:jc w:val="right"/>
    </w:pPr>
    <w:rPr>
      <w:rFonts w:ascii="宋体" w:hAnsi="宋体" w:cs="宋体"/>
      <w:kern w:val="0"/>
      <w:sz w:val="20"/>
      <w:szCs w:val="20"/>
    </w:rPr>
  </w:style>
  <w:style w:type="paragraph" w:customStyle="1" w:styleId="24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5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character" w:customStyle="1" w:styleId="255">
    <w:name w:val="标题 2 Char1"/>
    <w:qFormat/>
    <w:uiPriority w:val="0"/>
    <w:rPr>
      <w:rFonts w:ascii="Arial" w:hAnsi="Arial" w:eastAsia="黑体" w:cs="Times New Roman"/>
      <w:b/>
      <w:bCs/>
      <w:sz w:val="32"/>
      <w:szCs w:val="32"/>
    </w:rPr>
  </w:style>
  <w:style w:type="character" w:customStyle="1" w:styleId="256">
    <w:name w:val="标题 字符"/>
    <w:qFormat/>
    <w:uiPriority w:val="10"/>
    <w:rPr>
      <w:rFonts w:ascii="等线 Light" w:hAnsi="等线 Light" w:eastAsia="等线 Light" w:cs="Times New Roman"/>
      <w:b/>
      <w:bCs/>
      <w:sz w:val="32"/>
      <w:szCs w:val="32"/>
    </w:rPr>
  </w:style>
  <w:style w:type="character" w:customStyle="1" w:styleId="257">
    <w:name w:val="列出段落 字符"/>
    <w:qFormat/>
    <w:locked/>
    <w:uiPriority w:val="34"/>
    <w:rPr>
      <w:kern w:val="2"/>
      <w:sz w:val="21"/>
      <w:szCs w:val="22"/>
    </w:rPr>
  </w:style>
  <w:style w:type="paragraph" w:customStyle="1" w:styleId="258">
    <w:name w:val="4标题"/>
    <w:basedOn w:val="5"/>
    <w:link w:val="259"/>
    <w:qFormat/>
    <w:uiPriority w:val="0"/>
    <w:pPr>
      <w:adjustRightInd/>
      <w:spacing w:line="376" w:lineRule="auto"/>
      <w:textAlignment w:val="auto"/>
    </w:pPr>
    <w:rPr>
      <w:rFonts w:ascii="Calibri Light" w:hAnsi="Calibri Light" w:eastAsia="宋体"/>
      <w:bCs/>
      <w:kern w:val="2"/>
      <w:szCs w:val="28"/>
    </w:rPr>
  </w:style>
  <w:style w:type="character" w:customStyle="1" w:styleId="259">
    <w:name w:val="4标题 Char"/>
    <w:link w:val="258"/>
    <w:qFormat/>
    <w:uiPriority w:val="0"/>
    <w:rPr>
      <w:rFonts w:ascii="Calibri Light" w:hAnsi="Calibri Light" w:eastAsia="宋体" w:cs="Times New Roman"/>
      <w:b/>
      <w:bCs/>
      <w:sz w:val="28"/>
      <w:szCs w:val="28"/>
    </w:rPr>
  </w:style>
  <w:style w:type="paragraph" w:customStyle="1" w:styleId="260">
    <w:name w:val="xl65"/>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华文细黑" w:hAnsi="华文细黑" w:eastAsia="华文细黑" w:cs="宋体"/>
      <w:kern w:val="0"/>
      <w:sz w:val="24"/>
    </w:rPr>
  </w:style>
  <w:style w:type="paragraph" w:customStyle="1" w:styleId="261">
    <w:name w:val="列表段落1"/>
    <w:basedOn w:val="1"/>
    <w:link w:val="262"/>
    <w:unhideWhenUsed/>
    <w:qFormat/>
    <w:uiPriority w:val="34"/>
    <w:pPr>
      <w:ind w:firstLine="420" w:firstLineChars="200"/>
    </w:pPr>
  </w:style>
  <w:style w:type="character" w:customStyle="1" w:styleId="262">
    <w:name w:val="列表段落 字符"/>
    <w:link w:val="261"/>
    <w:qFormat/>
    <w:uiPriority w:val="34"/>
    <w:rPr>
      <w:kern w:val="2"/>
      <w:sz w:val="21"/>
      <w:szCs w:val="24"/>
    </w:rPr>
  </w:style>
  <w:style w:type="paragraph" w:customStyle="1" w:styleId="263">
    <w:name w:val="正文表格"/>
    <w:basedOn w:val="1"/>
    <w:qFormat/>
    <w:uiPriority w:val="0"/>
    <w:pPr>
      <w:widowControl w:val="0"/>
      <w:jc w:val="center"/>
    </w:pPr>
    <w:rPr>
      <w:rFonts w:ascii="宋体" w:hAnsi="宋体" w:cs="宋体"/>
      <w:color w:val="000000"/>
      <w:kern w:val="1"/>
      <w:szCs w:val="21"/>
    </w:rPr>
  </w:style>
  <w:style w:type="paragraph" w:customStyle="1" w:styleId="264">
    <w:name w:val="正文无缩进"/>
    <w:basedOn w:val="263"/>
    <w:qFormat/>
    <w:uiPriority w:val="0"/>
    <w:pPr>
      <w:jc w:val="left"/>
    </w:pPr>
  </w:style>
  <w:style w:type="paragraph" w:customStyle="1" w:styleId="2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6">
    <w:name w:val="正文文本 3 Char"/>
    <w:basedOn w:val="41"/>
    <w:link w:val="16"/>
    <w:semiHidden/>
    <w:qFormat/>
    <w:uiPriority w:val="99"/>
    <w:rPr>
      <w:kern w:val="2"/>
      <w:sz w:val="16"/>
      <w:szCs w:val="16"/>
    </w:rPr>
  </w:style>
  <w:style w:type="character" w:customStyle="1" w:styleId="267">
    <w:name w:val="日期 字符"/>
    <w:qFormat/>
    <w:uiPriority w:val="0"/>
    <w:rPr>
      <w:kern w:val="2"/>
      <w:sz w:val="28"/>
    </w:rPr>
  </w:style>
  <w:style w:type="character" w:customStyle="1" w:styleId="268">
    <w:name w:val="NormalCharacter"/>
    <w:qFormat/>
    <w:uiPriority w:val="0"/>
  </w:style>
  <w:style w:type="character" w:customStyle="1" w:styleId="269">
    <w:name w:val="c-icon"/>
    <w:basedOn w:val="41"/>
    <w:qFormat/>
    <w:uiPriority w:val="0"/>
  </w:style>
  <w:style w:type="character" w:customStyle="1" w:styleId="270">
    <w:name w:val="hover28"/>
    <w:basedOn w:val="41"/>
    <w:qFormat/>
    <w:uiPriority w:val="0"/>
  </w:style>
  <w:style w:type="character" w:customStyle="1" w:styleId="271">
    <w:name w:val="hover29"/>
    <w:basedOn w:val="41"/>
    <w:qFormat/>
    <w:uiPriority w:val="0"/>
    <w:rPr>
      <w:color w:val="315EFB"/>
    </w:rPr>
  </w:style>
  <w:style w:type="paragraph" w:customStyle="1" w:styleId="272">
    <w:name w:val="列表段落11"/>
    <w:basedOn w:val="1"/>
    <w:qFormat/>
    <w:uiPriority w:val="99"/>
    <w:pPr>
      <w:ind w:firstLine="420" w:firstLineChars="200"/>
    </w:pPr>
  </w:style>
  <w:style w:type="paragraph" w:styleId="273">
    <w:name w:val="List Paragraph"/>
    <w:basedOn w:val="1"/>
    <w:qFormat/>
    <w:uiPriority w:val="99"/>
    <w:pPr>
      <w:ind w:firstLine="420" w:firstLineChars="200"/>
    </w:pPr>
  </w:style>
  <w:style w:type="paragraph" w:styleId="274">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275">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276">
    <w:name w:val="font11"/>
    <w:basedOn w:val="41"/>
    <w:qFormat/>
    <w:uiPriority w:val="0"/>
    <w:rPr>
      <w:rFonts w:hint="eastAsia" w:ascii="等线" w:hAnsi="等线" w:eastAsia="等线" w:cs="等线"/>
      <w:color w:val="000000"/>
      <w:sz w:val="18"/>
      <w:szCs w:val="18"/>
      <w:u w:val="none"/>
    </w:rPr>
  </w:style>
  <w:style w:type="character" w:customStyle="1" w:styleId="277">
    <w:name w:val="font71"/>
    <w:basedOn w:val="41"/>
    <w:qFormat/>
    <w:uiPriority w:val="0"/>
    <w:rPr>
      <w:rFonts w:hint="eastAsia" w:ascii="宋体" w:hAnsi="宋体" w:eastAsia="宋体" w:cs="宋体"/>
      <w:color w:val="000000"/>
      <w:sz w:val="18"/>
      <w:szCs w:val="18"/>
      <w:u w:val="none"/>
    </w:rPr>
  </w:style>
  <w:style w:type="character" w:customStyle="1" w:styleId="278">
    <w:name w:val="font21"/>
    <w:basedOn w:val="41"/>
    <w:qFormat/>
    <w:uiPriority w:val="0"/>
    <w:rPr>
      <w:rFonts w:hint="eastAsia" w:ascii="等线" w:hAnsi="等线" w:eastAsia="等线" w:cs="等线"/>
      <w:color w:val="000000"/>
      <w:sz w:val="20"/>
      <w:szCs w:val="20"/>
      <w:u w:val="none"/>
    </w:rPr>
  </w:style>
  <w:style w:type="character" w:customStyle="1" w:styleId="279">
    <w:name w:val="font81"/>
    <w:basedOn w:val="41"/>
    <w:qFormat/>
    <w:uiPriority w:val="0"/>
    <w:rPr>
      <w:rFonts w:hint="eastAsia" w:ascii="宋体" w:hAnsi="宋体" w:eastAsia="宋体" w:cs="宋体"/>
      <w:color w:val="000000"/>
      <w:sz w:val="20"/>
      <w:szCs w:val="20"/>
      <w:u w:val="none"/>
    </w:rPr>
  </w:style>
  <w:style w:type="character" w:customStyle="1" w:styleId="280">
    <w:name w:val="font51"/>
    <w:basedOn w:val="41"/>
    <w:qFormat/>
    <w:uiPriority w:val="0"/>
    <w:rPr>
      <w:rFonts w:hint="eastAsia" w:ascii="仿宋" w:hAnsi="仿宋" w:eastAsia="仿宋" w:cs="仿宋"/>
      <w:color w:val="000000"/>
      <w:sz w:val="18"/>
      <w:szCs w:val="18"/>
      <w:u w:val="none"/>
    </w:rPr>
  </w:style>
  <w:style w:type="character" w:customStyle="1" w:styleId="281">
    <w:name w:val="font61"/>
    <w:basedOn w:val="41"/>
    <w:qFormat/>
    <w:uiPriority w:val="0"/>
    <w:rPr>
      <w:rFonts w:ascii="Arial" w:hAnsi="Arial" w:cs="Arial"/>
      <w:color w:val="000000"/>
      <w:sz w:val="18"/>
      <w:szCs w:val="18"/>
      <w:u w:val="none"/>
    </w:rPr>
  </w:style>
  <w:style w:type="character" w:customStyle="1" w:styleId="282">
    <w:name w:val="font112"/>
    <w:basedOn w:val="41"/>
    <w:qFormat/>
    <w:uiPriority w:val="0"/>
    <w:rPr>
      <w:rFonts w:hint="eastAsia" w:ascii="宋体" w:hAnsi="宋体" w:eastAsia="宋体" w:cs="宋体"/>
      <w:color w:val="000000"/>
      <w:sz w:val="20"/>
      <w:szCs w:val="20"/>
      <w:u w:val="none"/>
    </w:rPr>
  </w:style>
  <w:style w:type="character" w:customStyle="1" w:styleId="283">
    <w:name w:val="font191"/>
    <w:basedOn w:val="41"/>
    <w:qFormat/>
    <w:uiPriority w:val="0"/>
    <w:rPr>
      <w:rFonts w:hint="default" w:ascii="Times New Roman" w:hAnsi="Times New Roman" w:cs="Times New Roman"/>
      <w:color w:val="000000"/>
      <w:sz w:val="20"/>
      <w:szCs w:val="20"/>
      <w:u w:val="none"/>
    </w:rPr>
  </w:style>
  <w:style w:type="character" w:customStyle="1" w:styleId="284">
    <w:name w:val="font31"/>
    <w:basedOn w:val="41"/>
    <w:qFormat/>
    <w:uiPriority w:val="0"/>
    <w:rPr>
      <w:rFonts w:hint="eastAsia" w:ascii="宋体" w:hAnsi="宋体" w:eastAsia="宋体" w:cs="宋体"/>
      <w:color w:val="000000"/>
      <w:sz w:val="21"/>
      <w:szCs w:val="21"/>
      <w:u w:val="none"/>
    </w:rPr>
  </w:style>
  <w:style w:type="table" w:customStyle="1" w:styleId="28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21402</Words>
  <Characters>22520</Characters>
  <Lines>150</Lines>
  <Paragraphs>42</Paragraphs>
  <TotalTime>12</TotalTime>
  <ScaleCrop>false</ScaleCrop>
  <LinksUpToDate>false</LinksUpToDate>
  <CharactersWithSpaces>23335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2024-10-23T11:05:00Z</dcterms:created>
  <dc:creator>97540</dc:creator>
  <cp:lastModifiedBy>张灯结彩</cp:lastModifiedBy>
  <cp:lastPrinted>2022-03-04T02:19:00Z</cp:lastPrinted>
  <dcterms:modified xsi:type="dcterms:W3CDTF">2025-09-02T08:52:58Z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DF4A633F41824BD09784756757A250F8_13</vt:lpwstr>
  </property>
  <property fmtid="{D5CDD505-2E9C-101B-9397-08002B2CF9AE}" pid="4" name="KSOTemplateDocerSaveRecord">
    <vt:lpwstr>eyJoZGlkIjoiYWZlMjNiYTM1NjZhYzEyNWEwMTE3NjQxNWM3YWQzZGQiLCJ1c2VySWQiOiI1MTA4MjAwMDYifQ==</vt:lpwstr>
  </property>
</Properties>
</file>